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227" w:rsidRPr="00A120D8" w:rsidRDefault="009B5227" w:rsidP="008253AF">
      <w:pPr>
        <w:ind w:firstLine="708"/>
        <w:jc w:val="right"/>
        <w:rPr>
          <w:b/>
          <w:bCs/>
        </w:rPr>
      </w:pPr>
      <w:bookmarkStart w:id="0" w:name="_GoBack"/>
      <w:bookmarkEnd w:id="0"/>
      <w:r w:rsidRPr="00A120D8">
        <w:rPr>
          <w:bCs/>
          <w:iCs/>
        </w:rPr>
        <w:t xml:space="preserve">Załącznik nr 1 do SIWZ </w:t>
      </w:r>
    </w:p>
    <w:p w:rsidR="006C17A4" w:rsidRPr="007D77B5" w:rsidRDefault="006C17A4" w:rsidP="009B5227">
      <w:pPr>
        <w:ind w:firstLine="4395"/>
        <w:rPr>
          <w:b/>
          <w:sz w:val="28"/>
        </w:rPr>
      </w:pPr>
    </w:p>
    <w:p w:rsidR="009B5227" w:rsidRPr="007D77B5" w:rsidRDefault="009B5227" w:rsidP="009B5227">
      <w:pPr>
        <w:keepNext/>
        <w:jc w:val="center"/>
        <w:outlineLvl w:val="8"/>
        <w:rPr>
          <w:b/>
          <w:sz w:val="36"/>
          <w:szCs w:val="28"/>
        </w:rPr>
      </w:pPr>
      <w:r w:rsidRPr="007D77B5">
        <w:rPr>
          <w:b/>
          <w:sz w:val="36"/>
          <w:szCs w:val="28"/>
        </w:rPr>
        <w:t xml:space="preserve">SZCZEGÓŁOWY OPIS PRZEDMIOTU ZAMÓWIENIA </w:t>
      </w:r>
    </w:p>
    <w:p w:rsidR="009B5227" w:rsidRPr="007D77B5" w:rsidRDefault="009B5227" w:rsidP="009B5227"/>
    <w:p w:rsidR="006549B7" w:rsidRPr="007D77B5" w:rsidRDefault="006549B7" w:rsidP="00CF2283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eastAsia="Calibri"/>
          <w:b/>
          <w:sz w:val="28"/>
          <w:lang w:eastAsia="en-US"/>
        </w:rPr>
      </w:pPr>
      <w:bookmarkStart w:id="1" w:name="_Hlk491033607"/>
      <w:r w:rsidRPr="007D77B5">
        <w:rPr>
          <w:rFonts w:eastAsia="Calibri"/>
          <w:b/>
          <w:sz w:val="28"/>
          <w:lang w:eastAsia="en-US"/>
        </w:rPr>
        <w:t>Nazwa Zamówienia:</w:t>
      </w:r>
    </w:p>
    <w:p w:rsidR="006549B7" w:rsidRPr="007D77B5" w:rsidRDefault="006549B7" w:rsidP="006549B7">
      <w:pPr>
        <w:pStyle w:val="Akapitzlist"/>
        <w:spacing w:before="120"/>
        <w:ind w:left="426"/>
        <w:jc w:val="both"/>
        <w:rPr>
          <w:b/>
          <w:i/>
          <w:sz w:val="24"/>
        </w:rPr>
      </w:pPr>
      <w:r w:rsidRPr="007D77B5">
        <w:rPr>
          <w:b/>
          <w:i/>
          <w:sz w:val="24"/>
          <w:lang w:eastAsia="en-US"/>
        </w:rPr>
        <w:t>Wykonanie kontrolnych otworów wiertniczych z wyrobisk Głównej Kluczowej Sztolni Dziedzicznej i w pokładzie 510 dla profilaktyki ochrony wyrobisk i powierzchni</w:t>
      </w:r>
      <w:r w:rsidRPr="007D77B5">
        <w:rPr>
          <w:b/>
          <w:i/>
          <w:sz w:val="24"/>
        </w:rPr>
        <w:t xml:space="preserve"> </w:t>
      </w:r>
      <w:bookmarkEnd w:id="1"/>
    </w:p>
    <w:p w:rsidR="006549B7" w:rsidRPr="007D77B5" w:rsidRDefault="006549B7" w:rsidP="006549B7">
      <w:pPr>
        <w:pStyle w:val="Akapitzlist"/>
        <w:spacing w:before="120"/>
        <w:ind w:left="426"/>
        <w:jc w:val="both"/>
        <w:rPr>
          <w:rFonts w:eastAsia="Calibri"/>
          <w:b/>
          <w:lang w:eastAsia="en-US"/>
        </w:rPr>
      </w:pPr>
    </w:p>
    <w:p w:rsidR="006549B7" w:rsidRPr="007D77B5" w:rsidRDefault="006549B7" w:rsidP="0097059E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rFonts w:eastAsia="Calibri"/>
          <w:b/>
          <w:sz w:val="28"/>
          <w:lang w:eastAsia="en-US"/>
        </w:rPr>
      </w:pPr>
      <w:r w:rsidRPr="007D77B5">
        <w:rPr>
          <w:b/>
          <w:bCs/>
          <w:sz w:val="28"/>
          <w:szCs w:val="24"/>
        </w:rPr>
        <w:t>Przedmiotem zamówienia jest</w:t>
      </w:r>
      <w:r w:rsidRPr="007D77B5">
        <w:rPr>
          <w:bCs/>
          <w:sz w:val="28"/>
          <w:szCs w:val="24"/>
        </w:rPr>
        <w:t xml:space="preserve"> </w:t>
      </w:r>
      <w:r w:rsidRPr="007D77B5">
        <w:rPr>
          <w:b/>
          <w:bCs/>
          <w:sz w:val="28"/>
          <w:szCs w:val="24"/>
        </w:rPr>
        <w:t xml:space="preserve">wykonanie pod odpowiednim nadzorem </w:t>
      </w:r>
      <w:r w:rsidR="008B38E4">
        <w:rPr>
          <w:b/>
          <w:bCs/>
          <w:sz w:val="28"/>
          <w:szCs w:val="24"/>
        </w:rPr>
        <w:t>mierniczo-</w:t>
      </w:r>
      <w:r w:rsidRPr="007D77B5">
        <w:rPr>
          <w:b/>
          <w:bCs/>
          <w:sz w:val="28"/>
          <w:szCs w:val="24"/>
        </w:rPr>
        <w:t>geologiczn</w:t>
      </w:r>
      <w:r w:rsidR="008B38E4">
        <w:rPr>
          <w:b/>
          <w:bCs/>
          <w:sz w:val="28"/>
          <w:szCs w:val="24"/>
        </w:rPr>
        <w:t>ym</w:t>
      </w:r>
      <w:r w:rsidRPr="007D77B5">
        <w:rPr>
          <w:b/>
          <w:bCs/>
          <w:sz w:val="28"/>
          <w:szCs w:val="24"/>
        </w:rPr>
        <w:t xml:space="preserve"> następujących robót wiertniczych</w:t>
      </w:r>
      <w:r w:rsidRPr="007D77B5">
        <w:rPr>
          <w:bCs/>
          <w:sz w:val="24"/>
          <w:szCs w:val="24"/>
        </w:rPr>
        <w:t>:</w:t>
      </w:r>
    </w:p>
    <w:p w:rsidR="006549B7" w:rsidRPr="007D77B5" w:rsidRDefault="00D064EE" w:rsidP="00CF2283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b/>
          <w:sz w:val="24"/>
          <w:lang w:eastAsia="en-US"/>
        </w:rPr>
      </w:pPr>
      <w:r w:rsidRPr="007D77B5">
        <w:rPr>
          <w:bCs/>
          <w:sz w:val="24"/>
        </w:rPr>
        <w:t xml:space="preserve">Zadanie 1 - </w:t>
      </w:r>
      <w:r w:rsidR="006549B7" w:rsidRPr="007D77B5">
        <w:rPr>
          <w:bCs/>
          <w:sz w:val="24"/>
        </w:rPr>
        <w:t>Wykonanie do 74 ot</w:t>
      </w:r>
      <w:r w:rsidR="00123D0B">
        <w:rPr>
          <w:bCs/>
          <w:sz w:val="24"/>
        </w:rPr>
        <w:t>worów o łącznej długości do 1 99</w:t>
      </w:r>
      <w:r w:rsidR="006549B7" w:rsidRPr="007D77B5">
        <w:rPr>
          <w:bCs/>
          <w:sz w:val="24"/>
        </w:rPr>
        <w:t xml:space="preserve">0 metrów otworów </w:t>
      </w:r>
      <w:r w:rsidR="0097059E" w:rsidRPr="007D77B5">
        <w:rPr>
          <w:bCs/>
          <w:sz w:val="24"/>
        </w:rPr>
        <w:t>kontrolnych z </w:t>
      </w:r>
      <w:r w:rsidR="006549B7" w:rsidRPr="007D77B5">
        <w:rPr>
          <w:bCs/>
          <w:sz w:val="24"/>
        </w:rPr>
        <w:t>wyrobisk Głównej Kluczowej Sztolni Dziedzicznej z 15 stanowisk.</w:t>
      </w:r>
    </w:p>
    <w:p w:rsidR="006549B7" w:rsidRPr="007D77B5" w:rsidRDefault="00D064EE" w:rsidP="00CF2283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b/>
          <w:sz w:val="28"/>
          <w:lang w:eastAsia="en-US"/>
        </w:rPr>
      </w:pPr>
      <w:r w:rsidRPr="007D77B5">
        <w:rPr>
          <w:bCs/>
          <w:sz w:val="24"/>
        </w:rPr>
        <w:t xml:space="preserve">Zadanie 2 - </w:t>
      </w:r>
      <w:r w:rsidR="006549B7" w:rsidRPr="007D77B5">
        <w:rPr>
          <w:bCs/>
          <w:sz w:val="24"/>
          <w:szCs w:val="24"/>
        </w:rPr>
        <w:t>Wykonanie do 2</w:t>
      </w:r>
      <w:r w:rsidR="002D7E3E" w:rsidRPr="007D77B5">
        <w:rPr>
          <w:bCs/>
          <w:sz w:val="24"/>
          <w:szCs w:val="24"/>
        </w:rPr>
        <w:t>8</w:t>
      </w:r>
      <w:r w:rsidR="006549B7" w:rsidRPr="007D77B5">
        <w:rPr>
          <w:bCs/>
          <w:sz w:val="24"/>
          <w:szCs w:val="24"/>
        </w:rPr>
        <w:t xml:space="preserve"> otworów o łącznej długości do </w:t>
      </w:r>
      <w:r w:rsidR="00164010" w:rsidRPr="007D77B5">
        <w:rPr>
          <w:bCs/>
          <w:sz w:val="24"/>
          <w:szCs w:val="24"/>
        </w:rPr>
        <w:t>7</w:t>
      </w:r>
      <w:r w:rsidR="0097059E" w:rsidRPr="007D77B5">
        <w:rPr>
          <w:bCs/>
          <w:sz w:val="24"/>
          <w:szCs w:val="24"/>
        </w:rPr>
        <w:t>00 metrów otworów z wyrobisk w </w:t>
      </w:r>
      <w:r w:rsidR="006549B7" w:rsidRPr="007D77B5">
        <w:rPr>
          <w:bCs/>
          <w:sz w:val="24"/>
          <w:szCs w:val="24"/>
        </w:rPr>
        <w:t xml:space="preserve">pokładzie 510 z </w:t>
      </w:r>
      <w:r w:rsidR="00E94E86">
        <w:rPr>
          <w:bCs/>
          <w:sz w:val="24"/>
          <w:szCs w:val="24"/>
        </w:rPr>
        <w:t>21</w:t>
      </w:r>
      <w:r w:rsidR="006549B7" w:rsidRPr="007D77B5">
        <w:rPr>
          <w:bCs/>
          <w:sz w:val="24"/>
          <w:szCs w:val="24"/>
        </w:rPr>
        <w:t xml:space="preserve"> stanowisk.</w:t>
      </w:r>
    </w:p>
    <w:p w:rsidR="006549B7" w:rsidRPr="007D77B5" w:rsidRDefault="00D064EE" w:rsidP="00CF2283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b/>
          <w:sz w:val="28"/>
          <w:lang w:eastAsia="en-US"/>
        </w:rPr>
      </w:pPr>
      <w:r w:rsidRPr="007D77B5">
        <w:rPr>
          <w:bCs/>
          <w:sz w:val="24"/>
        </w:rPr>
        <w:t xml:space="preserve">Zadanie 3 - </w:t>
      </w:r>
      <w:r w:rsidR="006549B7" w:rsidRPr="007D77B5">
        <w:rPr>
          <w:bCs/>
          <w:sz w:val="24"/>
          <w:szCs w:val="24"/>
        </w:rPr>
        <w:t xml:space="preserve">Wykonanie do </w:t>
      </w:r>
      <w:r w:rsidR="00E94E86">
        <w:rPr>
          <w:bCs/>
          <w:sz w:val="24"/>
          <w:szCs w:val="24"/>
        </w:rPr>
        <w:t>10</w:t>
      </w:r>
      <w:r w:rsidR="006549B7" w:rsidRPr="007D77B5">
        <w:rPr>
          <w:bCs/>
          <w:sz w:val="24"/>
          <w:szCs w:val="24"/>
        </w:rPr>
        <w:t xml:space="preserve"> otworów o łącznej długości do </w:t>
      </w:r>
      <w:r w:rsidR="00E94E86">
        <w:rPr>
          <w:bCs/>
          <w:sz w:val="24"/>
          <w:szCs w:val="24"/>
        </w:rPr>
        <w:t>2</w:t>
      </w:r>
      <w:r w:rsidR="006549B7" w:rsidRPr="007D77B5">
        <w:rPr>
          <w:bCs/>
          <w:sz w:val="24"/>
          <w:szCs w:val="24"/>
        </w:rPr>
        <w:t xml:space="preserve">50 metrów z wyrobisk w pokładzie 510 lub Głównej Kluczowej Sztolni Dziedzicznej z około </w:t>
      </w:r>
      <w:r w:rsidR="00E94E86">
        <w:rPr>
          <w:bCs/>
          <w:sz w:val="24"/>
          <w:szCs w:val="24"/>
        </w:rPr>
        <w:t>10</w:t>
      </w:r>
      <w:r w:rsidR="006549B7" w:rsidRPr="007D77B5">
        <w:rPr>
          <w:bCs/>
          <w:sz w:val="24"/>
          <w:szCs w:val="24"/>
        </w:rPr>
        <w:t xml:space="preserve"> stanowisk wymienionych w pkt. I.1. i I.2. w zależności od konieczności dodatkowego rozeznania</w:t>
      </w:r>
      <w:r w:rsidR="0070240A" w:rsidRPr="007D77B5">
        <w:rPr>
          <w:bCs/>
          <w:sz w:val="24"/>
          <w:szCs w:val="24"/>
        </w:rPr>
        <w:t xml:space="preserve">   </w:t>
      </w:r>
      <w:r w:rsidR="006549B7" w:rsidRPr="007D77B5">
        <w:rPr>
          <w:bCs/>
          <w:sz w:val="24"/>
          <w:szCs w:val="24"/>
        </w:rPr>
        <w:t xml:space="preserve"> górotworu.</w:t>
      </w:r>
    </w:p>
    <w:p w:rsidR="006549B7" w:rsidRPr="007D77B5" w:rsidRDefault="006549B7" w:rsidP="00CF2283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b/>
          <w:sz w:val="28"/>
          <w:lang w:eastAsia="en-US"/>
        </w:rPr>
      </w:pPr>
      <w:r w:rsidRPr="007D77B5">
        <w:rPr>
          <w:bCs/>
          <w:sz w:val="24"/>
          <w:szCs w:val="24"/>
        </w:rPr>
        <w:t>Parametry robót wiertniczych określa tabela:</w:t>
      </w:r>
    </w:p>
    <w:tbl>
      <w:tblPr>
        <w:tblStyle w:val="Tabela-Siatka"/>
        <w:tblW w:w="9055" w:type="dxa"/>
        <w:jc w:val="center"/>
        <w:tblLayout w:type="fixed"/>
        <w:tblLook w:val="04A0"/>
      </w:tblPr>
      <w:tblGrid>
        <w:gridCol w:w="562"/>
        <w:gridCol w:w="1709"/>
        <w:gridCol w:w="1067"/>
        <w:gridCol w:w="2305"/>
        <w:gridCol w:w="1144"/>
        <w:gridCol w:w="1134"/>
        <w:gridCol w:w="1134"/>
      </w:tblGrid>
      <w:tr w:rsidR="007D77B5" w:rsidRPr="000E5A7E" w:rsidTr="002059C3">
        <w:trPr>
          <w:jc w:val="center"/>
        </w:trPr>
        <w:tc>
          <w:tcPr>
            <w:tcW w:w="562" w:type="dxa"/>
            <w:vAlign w:val="center"/>
          </w:tcPr>
          <w:p w:rsidR="00BA2E26" w:rsidRPr="000E5A7E" w:rsidRDefault="00BA2E26" w:rsidP="002059C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1709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 xml:space="preserve">REJON nr </w:t>
            </w:r>
            <w:r w:rsidRPr="000E5A7E">
              <w:rPr>
                <w:rFonts w:ascii="Times New Roman" w:hAnsi="Times New Roman" w:cs="Times New Roman"/>
                <w:sz w:val="20"/>
                <w:szCs w:val="20"/>
              </w:rPr>
              <w:br/>
              <w:t>z lokalizacją</w:t>
            </w:r>
          </w:p>
        </w:tc>
        <w:tc>
          <w:tcPr>
            <w:tcW w:w="1067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Ilość</w:t>
            </w:r>
          </w:p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stanowisk</w:t>
            </w:r>
          </w:p>
        </w:tc>
        <w:tc>
          <w:tcPr>
            <w:tcW w:w="2305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Parametry stanowisk</w:t>
            </w:r>
          </w:p>
        </w:tc>
        <w:tc>
          <w:tcPr>
            <w:tcW w:w="114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 xml:space="preserve">Ilość otworów ze stanowiska 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 xml:space="preserve">Ilość otworów </w:t>
            </w:r>
            <w:r w:rsidRPr="000E5A7E">
              <w:rPr>
                <w:rFonts w:ascii="Times New Roman" w:hAnsi="Times New Roman" w:cs="Times New Roman"/>
                <w:sz w:val="20"/>
                <w:szCs w:val="20"/>
              </w:rPr>
              <w:br/>
              <w:t>w rejonie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Łączna długość otworów [m]</w:t>
            </w:r>
          </w:p>
        </w:tc>
      </w:tr>
      <w:tr w:rsidR="00123D0B" w:rsidRPr="000E5A7E" w:rsidTr="00B311D0">
        <w:trPr>
          <w:jc w:val="center"/>
        </w:trPr>
        <w:tc>
          <w:tcPr>
            <w:tcW w:w="9055" w:type="dxa"/>
            <w:gridSpan w:val="7"/>
            <w:vAlign w:val="center"/>
          </w:tcPr>
          <w:p w:rsidR="00123D0B" w:rsidRPr="00B1608A" w:rsidRDefault="00123D0B" w:rsidP="00123D0B">
            <w:pPr>
              <w:spacing w:before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0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>Zadanie1</w:t>
            </w:r>
          </w:p>
        </w:tc>
      </w:tr>
      <w:tr w:rsidR="007D77B5" w:rsidRPr="000E5A7E" w:rsidTr="002059C3">
        <w:trPr>
          <w:jc w:val="center"/>
        </w:trPr>
        <w:tc>
          <w:tcPr>
            <w:tcW w:w="562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9" w:type="dxa"/>
            <w:vAlign w:val="center"/>
          </w:tcPr>
          <w:p w:rsidR="00BA2E26" w:rsidRPr="000E5A7E" w:rsidRDefault="00BA2E26" w:rsidP="002059C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I – rejon pokładu 504</w:t>
            </w:r>
          </w:p>
        </w:tc>
        <w:tc>
          <w:tcPr>
            <w:tcW w:w="1067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5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 w nitce południowej nr 1</w:t>
            </w:r>
          </w:p>
        </w:tc>
        <w:tc>
          <w:tcPr>
            <w:tcW w:w="114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7D77B5" w:rsidRPr="000E5A7E" w:rsidTr="002059C3">
        <w:trPr>
          <w:jc w:val="center"/>
        </w:trPr>
        <w:tc>
          <w:tcPr>
            <w:tcW w:w="562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9" w:type="dxa"/>
            <w:vAlign w:val="center"/>
          </w:tcPr>
          <w:p w:rsidR="00BA2E26" w:rsidRPr="000E5A7E" w:rsidRDefault="00BA2E26" w:rsidP="002059C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II – rejon pokładu 507</w:t>
            </w:r>
          </w:p>
        </w:tc>
        <w:tc>
          <w:tcPr>
            <w:tcW w:w="1067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5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 w nitce południowej nr 4</w:t>
            </w:r>
          </w:p>
        </w:tc>
        <w:tc>
          <w:tcPr>
            <w:tcW w:w="114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7D77B5" w:rsidRPr="000E5A7E" w:rsidTr="002059C3">
        <w:trPr>
          <w:jc w:val="center"/>
        </w:trPr>
        <w:tc>
          <w:tcPr>
            <w:tcW w:w="562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9" w:type="dxa"/>
            <w:vAlign w:val="center"/>
          </w:tcPr>
          <w:p w:rsidR="00BA2E26" w:rsidRPr="000E5A7E" w:rsidRDefault="00BA2E26" w:rsidP="002059C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III – rejon pokładu 507, 509, 510</w:t>
            </w:r>
          </w:p>
        </w:tc>
        <w:tc>
          <w:tcPr>
            <w:tcW w:w="1067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05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6 w południowej, 5 w północnej naprzemiennie co ok. 20 m</w:t>
            </w:r>
          </w:p>
        </w:tc>
        <w:tc>
          <w:tcPr>
            <w:tcW w:w="114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34" w:type="dxa"/>
            <w:vAlign w:val="center"/>
          </w:tcPr>
          <w:p w:rsidR="00BA2E26" w:rsidRPr="000E5A7E" w:rsidRDefault="00123D0B" w:rsidP="00123D0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1790</w:t>
            </w:r>
          </w:p>
        </w:tc>
      </w:tr>
      <w:tr w:rsidR="007D77B5" w:rsidRPr="000E5A7E" w:rsidTr="002059C3">
        <w:trPr>
          <w:jc w:val="center"/>
        </w:trPr>
        <w:tc>
          <w:tcPr>
            <w:tcW w:w="562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9" w:type="dxa"/>
            <w:vAlign w:val="center"/>
          </w:tcPr>
          <w:p w:rsidR="00BA2E26" w:rsidRPr="000E5A7E" w:rsidRDefault="00BA2E26" w:rsidP="002059C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IV – rejon pokładu 507</w:t>
            </w:r>
          </w:p>
        </w:tc>
        <w:tc>
          <w:tcPr>
            <w:tcW w:w="1067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5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 w północnej nr 18</w:t>
            </w:r>
          </w:p>
        </w:tc>
        <w:tc>
          <w:tcPr>
            <w:tcW w:w="114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7D77B5" w:rsidRPr="000E5A7E" w:rsidTr="009F2679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V – rejon pokładu 509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 w południowej nr 22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7D77B5" w:rsidRPr="000E5A7E" w:rsidTr="009F2679">
        <w:trPr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>Suma zad. 1</w:t>
            </w:r>
          </w:p>
        </w:tc>
        <w:tc>
          <w:tcPr>
            <w:tcW w:w="1067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05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064EE" w:rsidRPr="000E5A7E" w:rsidRDefault="00123D0B" w:rsidP="00123D0B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  <w:r w:rsidR="00D064EE" w:rsidRPr="000E5A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23D0B" w:rsidRPr="000E5A7E" w:rsidTr="00B82002">
        <w:trPr>
          <w:jc w:val="center"/>
        </w:trPr>
        <w:tc>
          <w:tcPr>
            <w:tcW w:w="9055" w:type="dxa"/>
            <w:gridSpan w:val="7"/>
            <w:vAlign w:val="center"/>
          </w:tcPr>
          <w:p w:rsidR="00123D0B" w:rsidRPr="00B1608A" w:rsidRDefault="00123D0B" w:rsidP="00123D0B">
            <w:pPr>
              <w:spacing w:before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0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Zadanie 2 </w:t>
            </w:r>
          </w:p>
        </w:tc>
      </w:tr>
      <w:tr w:rsidR="007D77B5" w:rsidRPr="000E5A7E" w:rsidTr="002059C3">
        <w:trPr>
          <w:jc w:val="center"/>
        </w:trPr>
        <w:tc>
          <w:tcPr>
            <w:tcW w:w="562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9" w:type="dxa"/>
            <w:vAlign w:val="center"/>
          </w:tcPr>
          <w:p w:rsidR="00BA2E26" w:rsidRPr="000E5A7E" w:rsidRDefault="00BA2E26" w:rsidP="002059C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VI – rejon Chodnika podstawowego pokładu 510</w:t>
            </w:r>
          </w:p>
        </w:tc>
        <w:tc>
          <w:tcPr>
            <w:tcW w:w="1067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05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 xml:space="preserve">7 w Chodniku podstawowym </w:t>
            </w:r>
            <w:r w:rsidRPr="000E5A7E">
              <w:rPr>
                <w:rFonts w:ascii="Times New Roman" w:hAnsi="Times New Roman" w:cs="Times New Roman"/>
                <w:sz w:val="20"/>
                <w:szCs w:val="20"/>
              </w:rPr>
              <w:br/>
              <w:t>pokładu 510 co 20 m</w:t>
            </w:r>
          </w:p>
        </w:tc>
        <w:tc>
          <w:tcPr>
            <w:tcW w:w="114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7D77B5" w:rsidRPr="000E5A7E" w:rsidTr="009F2679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VII – rejon Pochylni od poziomu 40 m do poziomu 80 m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7 w ociosie północnym.</w:t>
            </w:r>
          </w:p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7 w ociosie południowym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A2E26" w:rsidRPr="000E5A7E" w:rsidRDefault="00BA2E26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7D77B5" w:rsidRPr="000E5A7E" w:rsidTr="009F2679">
        <w:trPr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>Suma zad. 2</w:t>
            </w:r>
          </w:p>
        </w:tc>
        <w:tc>
          <w:tcPr>
            <w:tcW w:w="1067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05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064EE" w:rsidRPr="000E5A7E" w:rsidRDefault="00D064EE" w:rsidP="002059C3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</w:tr>
      <w:tr w:rsidR="00123D0B" w:rsidRPr="000E5A7E" w:rsidTr="00E566ED">
        <w:trPr>
          <w:jc w:val="center"/>
        </w:trPr>
        <w:tc>
          <w:tcPr>
            <w:tcW w:w="9055" w:type="dxa"/>
            <w:gridSpan w:val="7"/>
            <w:vAlign w:val="center"/>
          </w:tcPr>
          <w:p w:rsidR="00123D0B" w:rsidRPr="00B1608A" w:rsidRDefault="00123D0B" w:rsidP="00123D0B">
            <w:pPr>
              <w:spacing w:before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608A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Zadanie 3 </w:t>
            </w:r>
          </w:p>
        </w:tc>
      </w:tr>
      <w:tr w:rsidR="007D77B5" w:rsidRPr="000E5A7E" w:rsidTr="009F2679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:rsidR="00D064EE" w:rsidRPr="000E5A7E" w:rsidRDefault="00D064E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D064EE" w:rsidRPr="000E5A7E" w:rsidRDefault="00D064EE" w:rsidP="00D064EE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Wiercenia dodatkowe z wyrobisk (opcjonalnie)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vAlign w:val="center"/>
          </w:tcPr>
          <w:p w:rsidR="00D064EE" w:rsidRPr="000E5A7E" w:rsidRDefault="00E3018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vAlign w:val="center"/>
          </w:tcPr>
          <w:p w:rsidR="00D064EE" w:rsidRPr="000E5A7E" w:rsidRDefault="00D064E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Wiercenia  Głównej Kluczowej Sztolni Dziedzicznej, chodnika w pokładzie 510, pochylni od poziomu 40 m do poziomu 80 m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D064EE" w:rsidRPr="000E5A7E" w:rsidRDefault="00D064E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064EE" w:rsidRPr="000E5A7E" w:rsidRDefault="00E3018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064EE" w:rsidRPr="000E5A7E" w:rsidRDefault="00E3018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7D77B5" w:rsidRPr="000E5A7E" w:rsidTr="009F2679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4EE" w:rsidRPr="000E5A7E" w:rsidRDefault="00D064E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4EE" w:rsidRPr="000E5A7E" w:rsidRDefault="00D064EE" w:rsidP="00D064EE">
            <w:pPr>
              <w:spacing w:before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>Suma zad. 3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4EE" w:rsidRPr="000E5A7E" w:rsidRDefault="00E3018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4EE" w:rsidRPr="000E5A7E" w:rsidRDefault="00D064E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4EE" w:rsidRPr="000E5A7E" w:rsidRDefault="00E3018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4EE" w:rsidRPr="000E5A7E" w:rsidRDefault="00E3018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64EE" w:rsidRPr="000E5A7E" w:rsidRDefault="00E3018E" w:rsidP="00D064EE">
            <w:pPr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7D77B5" w:rsidRPr="000E5A7E" w:rsidTr="009F2679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:rsidR="00D064EE" w:rsidRPr="000E5A7E" w:rsidRDefault="00D064EE" w:rsidP="00D064E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9" w:type="dxa"/>
            <w:shd w:val="clear" w:color="auto" w:fill="D9D9D9" w:themeFill="background1" w:themeFillShade="D9"/>
            <w:vAlign w:val="center"/>
          </w:tcPr>
          <w:p w:rsidR="00D064EE" w:rsidRPr="000E5A7E" w:rsidRDefault="007D77B5" w:rsidP="007D77B5">
            <w:pPr>
              <w:spacing w:before="1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>SUMA</w:t>
            </w:r>
          </w:p>
        </w:tc>
        <w:tc>
          <w:tcPr>
            <w:tcW w:w="1067" w:type="dxa"/>
            <w:shd w:val="clear" w:color="auto" w:fill="D9D9D9" w:themeFill="background1" w:themeFillShade="D9"/>
            <w:vAlign w:val="center"/>
          </w:tcPr>
          <w:p w:rsidR="00D064EE" w:rsidRPr="000E5A7E" w:rsidRDefault="006659CB" w:rsidP="00D064E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  <w:r w:rsidR="00D064EE"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05" w:type="dxa"/>
            <w:shd w:val="clear" w:color="auto" w:fill="D9D9D9" w:themeFill="background1" w:themeFillShade="D9"/>
            <w:vAlign w:val="center"/>
          </w:tcPr>
          <w:p w:rsidR="00D064EE" w:rsidRPr="000E5A7E" w:rsidRDefault="00D064EE" w:rsidP="00D064E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D9D9D9" w:themeFill="background1" w:themeFillShade="D9"/>
            <w:vAlign w:val="center"/>
          </w:tcPr>
          <w:p w:rsidR="00D064EE" w:rsidRPr="000E5A7E" w:rsidRDefault="00D064EE" w:rsidP="00D064E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64EE" w:rsidRPr="000E5A7E" w:rsidRDefault="00E3018E" w:rsidP="00D064EE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>112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064EE" w:rsidRPr="000E5A7E" w:rsidRDefault="00D064EE" w:rsidP="006659CB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23D0B">
              <w:rPr>
                <w:rFonts w:ascii="Times New Roman" w:hAnsi="Times New Roman" w:cs="Times New Roman"/>
                <w:b/>
                <w:sz w:val="20"/>
                <w:szCs w:val="20"/>
              </w:rPr>
              <w:t>94</w:t>
            </w:r>
            <w:r w:rsidR="006659CB" w:rsidRPr="000E5A7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6549B7" w:rsidRPr="007D77B5" w:rsidRDefault="006549B7" w:rsidP="006549B7">
      <w:pPr>
        <w:pStyle w:val="Akapitzlist"/>
        <w:spacing w:before="120"/>
        <w:ind w:left="284"/>
        <w:jc w:val="both"/>
        <w:rPr>
          <w:bCs/>
          <w:sz w:val="24"/>
          <w:szCs w:val="24"/>
        </w:rPr>
      </w:pPr>
    </w:p>
    <w:p w:rsidR="00D602DC" w:rsidRPr="007D77B5" w:rsidRDefault="006549B7" w:rsidP="0047643B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>Ze względu na gabaryty Głównej Kluczowej Sztolni Dzi</w:t>
      </w:r>
      <w:r w:rsidR="00FA45C1" w:rsidRPr="007D77B5">
        <w:rPr>
          <w:bCs/>
          <w:sz w:val="24"/>
          <w:szCs w:val="24"/>
        </w:rPr>
        <w:t>edzicznej (szerokość ok. 1,5 m i </w:t>
      </w:r>
      <w:r w:rsidRPr="007D77B5">
        <w:rPr>
          <w:bCs/>
          <w:sz w:val="24"/>
          <w:szCs w:val="24"/>
        </w:rPr>
        <w:t>wysokość ok. 3,0</w:t>
      </w:r>
      <w:r w:rsidR="00FA45C1" w:rsidRPr="007D77B5">
        <w:rPr>
          <w:bCs/>
          <w:sz w:val="24"/>
          <w:szCs w:val="24"/>
        </w:rPr>
        <w:t xml:space="preserve"> </w:t>
      </w:r>
      <w:r w:rsidRPr="007D77B5">
        <w:rPr>
          <w:bCs/>
          <w:sz w:val="24"/>
          <w:szCs w:val="24"/>
        </w:rPr>
        <w:t>m) oraz możliwości ustawienia wiertnicy niewykluczone jest wydłużenie otworów z powodu zmiany ich azymutu i nachylenia</w:t>
      </w:r>
      <w:r w:rsidR="008A01F2" w:rsidRPr="007D77B5">
        <w:rPr>
          <w:bCs/>
          <w:sz w:val="24"/>
          <w:szCs w:val="24"/>
        </w:rPr>
        <w:t>.</w:t>
      </w:r>
    </w:p>
    <w:p w:rsidR="00D602DC" w:rsidRPr="007D77B5" w:rsidRDefault="006549B7" w:rsidP="0047643B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 xml:space="preserve">Długość pojedynczego otworu wynosić będzie do 25 metrów. Ze względu na możliwości ustawienia wiertnicy długość otworów może być zwiększona </w:t>
      </w:r>
      <w:r w:rsidR="008253AF" w:rsidRPr="007D77B5">
        <w:rPr>
          <w:bCs/>
          <w:sz w:val="24"/>
          <w:szCs w:val="24"/>
        </w:rPr>
        <w:t xml:space="preserve">i wynosić </w:t>
      </w:r>
      <w:r w:rsidRPr="007D77B5">
        <w:rPr>
          <w:bCs/>
          <w:sz w:val="24"/>
          <w:szCs w:val="24"/>
        </w:rPr>
        <w:t>do 30m. Przewiduje się, iż zwiększenie długości otworów do 30</w:t>
      </w:r>
      <w:r w:rsidR="00FA45C1" w:rsidRPr="007D77B5">
        <w:rPr>
          <w:bCs/>
          <w:sz w:val="24"/>
          <w:szCs w:val="24"/>
        </w:rPr>
        <w:t xml:space="preserve"> </w:t>
      </w:r>
      <w:r w:rsidRPr="007D77B5">
        <w:rPr>
          <w:bCs/>
          <w:sz w:val="24"/>
          <w:szCs w:val="24"/>
        </w:rPr>
        <w:t xml:space="preserve">m dotyczyć będzie maksymalnie </w:t>
      </w:r>
      <w:r w:rsidR="00164010" w:rsidRPr="007D77B5">
        <w:rPr>
          <w:bCs/>
          <w:sz w:val="24"/>
          <w:szCs w:val="24"/>
        </w:rPr>
        <w:t>1</w:t>
      </w:r>
      <w:r w:rsidRPr="007D77B5">
        <w:rPr>
          <w:bCs/>
          <w:sz w:val="24"/>
          <w:szCs w:val="24"/>
        </w:rPr>
        <w:t>0% z sumarycznej ilości otworów.</w:t>
      </w:r>
    </w:p>
    <w:p w:rsidR="00D602DC" w:rsidRPr="007D77B5" w:rsidRDefault="006549B7" w:rsidP="0047643B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>W przypadku natrafienia otworem na pustkę</w:t>
      </w:r>
      <w:r w:rsidR="008253AF" w:rsidRPr="007D77B5">
        <w:rPr>
          <w:bCs/>
          <w:sz w:val="24"/>
          <w:szCs w:val="24"/>
        </w:rPr>
        <w:t xml:space="preserve"> większą niż 0,5m.</w:t>
      </w:r>
      <w:r w:rsidRPr="007D77B5">
        <w:rPr>
          <w:bCs/>
          <w:sz w:val="24"/>
          <w:szCs w:val="24"/>
        </w:rPr>
        <w:t xml:space="preserve"> Wykonawca wstrzyma się z wierceniem i skonsultuje z Zamawiającym </w:t>
      </w:r>
      <w:r w:rsidR="002A32A3">
        <w:rPr>
          <w:bCs/>
          <w:sz w:val="24"/>
          <w:szCs w:val="24"/>
        </w:rPr>
        <w:t xml:space="preserve">potrzebę </w:t>
      </w:r>
      <w:r w:rsidRPr="007D77B5">
        <w:rPr>
          <w:bCs/>
          <w:sz w:val="24"/>
          <w:szCs w:val="24"/>
        </w:rPr>
        <w:t>kontynu</w:t>
      </w:r>
      <w:r w:rsidR="002A32A3">
        <w:rPr>
          <w:bCs/>
          <w:sz w:val="24"/>
          <w:szCs w:val="24"/>
        </w:rPr>
        <w:t>acji wiercenia</w:t>
      </w:r>
      <w:r w:rsidRPr="007D77B5">
        <w:rPr>
          <w:bCs/>
          <w:sz w:val="24"/>
          <w:szCs w:val="24"/>
        </w:rPr>
        <w:t>.</w:t>
      </w:r>
    </w:p>
    <w:p w:rsidR="00D602DC" w:rsidRPr="007D77B5" w:rsidRDefault="00E94E86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Zamawiający przewiduje możliwość zwiększenia długości dla </w:t>
      </w:r>
      <w:r w:rsidRPr="007D77B5">
        <w:rPr>
          <w:bCs/>
          <w:sz w:val="24"/>
          <w:szCs w:val="24"/>
        </w:rPr>
        <w:t>czterech otworów</w:t>
      </w:r>
      <w:r>
        <w:rPr>
          <w:bCs/>
          <w:sz w:val="24"/>
          <w:szCs w:val="24"/>
        </w:rPr>
        <w:t xml:space="preserve">. </w:t>
      </w:r>
      <w:r w:rsidR="002A32A3">
        <w:rPr>
          <w:bCs/>
          <w:sz w:val="24"/>
          <w:szCs w:val="24"/>
        </w:rPr>
        <w:t>D</w:t>
      </w:r>
      <w:r w:rsidR="00072197" w:rsidRPr="007D77B5">
        <w:rPr>
          <w:bCs/>
          <w:sz w:val="24"/>
          <w:szCs w:val="24"/>
        </w:rPr>
        <w:t xml:space="preserve">ługość </w:t>
      </w:r>
      <w:r w:rsidR="002A32A3">
        <w:rPr>
          <w:bCs/>
          <w:sz w:val="24"/>
          <w:szCs w:val="24"/>
        </w:rPr>
        <w:t xml:space="preserve">otworów </w:t>
      </w:r>
      <w:r w:rsidR="006549B7" w:rsidRPr="007D77B5">
        <w:rPr>
          <w:bCs/>
          <w:sz w:val="24"/>
          <w:szCs w:val="24"/>
        </w:rPr>
        <w:t>może być zwiększona do 60m</w:t>
      </w:r>
      <w:r w:rsidR="008A01F2" w:rsidRPr="007D77B5">
        <w:rPr>
          <w:bCs/>
          <w:sz w:val="24"/>
          <w:szCs w:val="24"/>
        </w:rPr>
        <w:t>.</w:t>
      </w:r>
      <w:r w:rsidRPr="00E94E8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Wykonanie wydłużonych otworów dotyczy wierceń w Rejonie nr III, ze stanowiska nr 10.</w:t>
      </w:r>
    </w:p>
    <w:p w:rsidR="006549B7" w:rsidRPr="007D77B5" w:rsidRDefault="006549B7" w:rsidP="0047643B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>Przewiduje się, iż łączna długość</w:t>
      </w:r>
      <w:r w:rsidR="00710E23">
        <w:rPr>
          <w:bCs/>
          <w:sz w:val="24"/>
          <w:szCs w:val="24"/>
        </w:rPr>
        <w:t>(ilość)</w:t>
      </w:r>
      <w:r w:rsidRPr="007D77B5">
        <w:rPr>
          <w:bCs/>
          <w:sz w:val="24"/>
          <w:szCs w:val="24"/>
        </w:rPr>
        <w:t xml:space="preserve"> otworów:</w:t>
      </w:r>
    </w:p>
    <w:p w:rsidR="006549B7" w:rsidRPr="007D77B5" w:rsidRDefault="00D602DC" w:rsidP="002318AB">
      <w:pPr>
        <w:tabs>
          <w:tab w:val="left" w:pos="5529"/>
        </w:tabs>
        <w:spacing w:before="120"/>
        <w:ind w:left="851" w:hanging="284"/>
        <w:jc w:val="both"/>
        <w:rPr>
          <w:bCs/>
        </w:rPr>
      </w:pPr>
      <w:r w:rsidRPr="007D77B5">
        <w:rPr>
          <w:bCs/>
        </w:rPr>
        <w:t>1)</w:t>
      </w:r>
      <w:r w:rsidRPr="007D77B5">
        <w:rPr>
          <w:bCs/>
        </w:rPr>
        <w:tab/>
      </w:r>
      <w:r w:rsidR="002318AB" w:rsidRPr="007D77B5">
        <w:rPr>
          <w:bCs/>
        </w:rPr>
        <w:t xml:space="preserve">rdzeniowych nie przekroczy </w:t>
      </w:r>
      <w:r w:rsidR="008A01F2" w:rsidRPr="007D77B5">
        <w:rPr>
          <w:bCs/>
        </w:rPr>
        <w:t>100</w:t>
      </w:r>
      <w:r w:rsidR="00C1673A">
        <w:rPr>
          <w:bCs/>
        </w:rPr>
        <w:t xml:space="preserve"> </w:t>
      </w:r>
      <w:r w:rsidR="008A01F2" w:rsidRPr="007D77B5">
        <w:rPr>
          <w:bCs/>
        </w:rPr>
        <w:t>m</w:t>
      </w:r>
      <w:r w:rsidR="006549B7" w:rsidRPr="007D77B5">
        <w:rPr>
          <w:bCs/>
        </w:rPr>
        <w:t xml:space="preserve"> z wymaganych do wykonania. Otwory rdzeniowe do wykonania będą wskazane przez Zamawiającego przed rozpoczęciem wiercenia kolejnego otworu: z danego stanowiska na podstawie wyników wierceń już wykonanych w tym stanowisku lub wiercenia kolejnego otworu w danym rejonie na podstawie </w:t>
      </w:r>
      <w:r w:rsidR="00622AAC" w:rsidRPr="007D77B5">
        <w:rPr>
          <w:bCs/>
        </w:rPr>
        <w:t xml:space="preserve">wyników wierceń w tym rejonie. </w:t>
      </w:r>
      <w:r w:rsidR="006549B7" w:rsidRPr="007D77B5">
        <w:rPr>
          <w:bCs/>
        </w:rPr>
        <w:t xml:space="preserve">Przewiduje się wykonanie </w:t>
      </w:r>
      <w:r w:rsidR="00E94E86">
        <w:rPr>
          <w:bCs/>
        </w:rPr>
        <w:t xml:space="preserve">maksymalnie </w:t>
      </w:r>
      <w:r w:rsidR="006549B7" w:rsidRPr="007D77B5">
        <w:rPr>
          <w:bCs/>
        </w:rPr>
        <w:t>jednego o</w:t>
      </w:r>
      <w:r w:rsidR="007D77B5" w:rsidRPr="007D77B5">
        <w:rPr>
          <w:bCs/>
        </w:rPr>
        <w:t xml:space="preserve">tworu </w:t>
      </w:r>
      <w:r w:rsidR="00E94E86">
        <w:rPr>
          <w:bCs/>
        </w:rPr>
        <w:t>rdzeniowego z każdego ze</w:t>
      </w:r>
      <w:r w:rsidR="007D77B5" w:rsidRPr="007D77B5">
        <w:rPr>
          <w:bCs/>
        </w:rPr>
        <w:t xml:space="preserve"> stanowisk</w:t>
      </w:r>
      <w:r w:rsidR="00E94E86">
        <w:rPr>
          <w:bCs/>
        </w:rPr>
        <w:t xml:space="preserve"> zlokalizowanych</w:t>
      </w:r>
      <w:r w:rsidR="007D77B5" w:rsidRPr="007D77B5">
        <w:rPr>
          <w:bCs/>
        </w:rPr>
        <w:t xml:space="preserve"> w wyrobiskach GKSD (w wyrobiskach w pokładzie 510 </w:t>
      </w:r>
      <w:r w:rsidR="00466F82">
        <w:rPr>
          <w:bCs/>
        </w:rPr>
        <w:t xml:space="preserve">– w Zadaniu 2 - </w:t>
      </w:r>
      <w:r w:rsidR="007D77B5" w:rsidRPr="007D77B5">
        <w:rPr>
          <w:bCs/>
        </w:rPr>
        <w:t>otwory rdzeniowe nie będą wykonywane).</w:t>
      </w:r>
    </w:p>
    <w:p w:rsidR="006549B7" w:rsidRPr="007D77B5" w:rsidRDefault="00D602DC" w:rsidP="00D602DC">
      <w:pPr>
        <w:spacing w:before="120"/>
        <w:ind w:left="851" w:hanging="284"/>
        <w:jc w:val="both"/>
        <w:rPr>
          <w:bCs/>
        </w:rPr>
      </w:pPr>
      <w:r w:rsidRPr="007D77B5">
        <w:rPr>
          <w:bCs/>
        </w:rPr>
        <w:t>2)</w:t>
      </w:r>
      <w:r w:rsidRPr="007D77B5">
        <w:rPr>
          <w:bCs/>
        </w:rPr>
        <w:tab/>
      </w:r>
      <w:r w:rsidR="006549B7" w:rsidRPr="007D77B5">
        <w:rPr>
          <w:bCs/>
        </w:rPr>
        <w:t xml:space="preserve">rurowanych nie przekroczy </w:t>
      </w:r>
      <w:r w:rsidR="003843DA" w:rsidRPr="007D77B5">
        <w:rPr>
          <w:bCs/>
        </w:rPr>
        <w:t>30 szt.</w:t>
      </w:r>
      <w:r w:rsidR="006659CB" w:rsidRPr="007D77B5">
        <w:rPr>
          <w:bCs/>
        </w:rPr>
        <w:t xml:space="preserve"> </w:t>
      </w:r>
      <w:r w:rsidR="006549B7" w:rsidRPr="007D77B5">
        <w:rPr>
          <w:bCs/>
        </w:rPr>
        <w:t>z wymaganych do wykonania. Otwory wiertnicze będą rurowane w przypadku stwierdzenia pustki w górotworze (dla w</w:t>
      </w:r>
      <w:r w:rsidR="008A01F2" w:rsidRPr="007D77B5">
        <w:rPr>
          <w:bCs/>
        </w:rPr>
        <w:t>ykonania skaningu tych pustek)</w:t>
      </w:r>
      <w:r w:rsidR="006549B7" w:rsidRPr="007D77B5">
        <w:rPr>
          <w:bCs/>
        </w:rPr>
        <w:t xml:space="preserve">. Rurowanie w trakcie wiercenia </w:t>
      </w:r>
      <w:r w:rsidR="002A32A3">
        <w:rPr>
          <w:bCs/>
        </w:rPr>
        <w:t xml:space="preserve">może być </w:t>
      </w:r>
      <w:r w:rsidR="006549B7" w:rsidRPr="007D77B5">
        <w:rPr>
          <w:bCs/>
        </w:rPr>
        <w:t>wykonywane również w przypadku trudności z kontynuowaniem wiercenia, tj. w przypadku obsypywanie się otworu, utraty przepłuczki, itp.</w:t>
      </w:r>
      <w:r w:rsidR="002A32A3">
        <w:rPr>
          <w:bCs/>
        </w:rPr>
        <w:t xml:space="preserve"> O konieczności rurowania takiego otworu zadecyduje </w:t>
      </w:r>
      <w:r w:rsidR="0075699E">
        <w:rPr>
          <w:bCs/>
        </w:rPr>
        <w:t>Zamawiający</w:t>
      </w:r>
      <w:r w:rsidR="002A32A3">
        <w:rPr>
          <w:bCs/>
        </w:rPr>
        <w:t>.</w:t>
      </w:r>
    </w:p>
    <w:p w:rsidR="00CD20F3" w:rsidRPr="007D77B5" w:rsidRDefault="006549B7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 xml:space="preserve">Średnica otworów powinna wynosić od 75 mm do 80 </w:t>
      </w:r>
      <w:proofErr w:type="spellStart"/>
      <w:r w:rsidRPr="007D77B5">
        <w:rPr>
          <w:bCs/>
          <w:sz w:val="24"/>
          <w:szCs w:val="24"/>
        </w:rPr>
        <w:t>mm</w:t>
      </w:r>
      <w:proofErr w:type="spellEnd"/>
      <w:r w:rsidRPr="007D77B5">
        <w:rPr>
          <w:bCs/>
          <w:sz w:val="24"/>
          <w:szCs w:val="24"/>
        </w:rPr>
        <w:t>.</w:t>
      </w:r>
      <w:r w:rsidR="00CD20F3" w:rsidRPr="007D77B5">
        <w:rPr>
          <w:bCs/>
          <w:sz w:val="24"/>
          <w:szCs w:val="24"/>
        </w:rPr>
        <w:t xml:space="preserve"> </w:t>
      </w:r>
    </w:p>
    <w:p w:rsidR="00CD20F3" w:rsidRPr="007D77B5" w:rsidRDefault="00CD20F3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lastRenderedPageBreak/>
        <w:t>Zamawiający może zlecić wykonanie nie więcej niż 2 otworów wiertniczych o średnicy</w:t>
      </w:r>
      <w:r w:rsidR="00622AAC" w:rsidRPr="007D77B5">
        <w:rPr>
          <w:bCs/>
          <w:sz w:val="24"/>
          <w:szCs w:val="24"/>
        </w:rPr>
        <w:t xml:space="preserve"> pojedynczego otworu do 120 </w:t>
      </w:r>
      <w:proofErr w:type="spellStart"/>
      <w:r w:rsidR="00622AAC" w:rsidRPr="007D77B5">
        <w:rPr>
          <w:bCs/>
          <w:sz w:val="24"/>
          <w:szCs w:val="24"/>
        </w:rPr>
        <w:t>mm</w:t>
      </w:r>
      <w:proofErr w:type="spellEnd"/>
      <w:r w:rsidR="00622AAC" w:rsidRPr="007D77B5">
        <w:rPr>
          <w:bCs/>
          <w:sz w:val="24"/>
          <w:szCs w:val="24"/>
        </w:rPr>
        <w:t>.</w:t>
      </w:r>
    </w:p>
    <w:p w:rsidR="00D602DC" w:rsidRPr="00B1608A" w:rsidRDefault="006549B7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B1608A">
        <w:rPr>
          <w:bCs/>
          <w:sz w:val="24"/>
          <w:szCs w:val="24"/>
        </w:rPr>
        <w:t>Otwory należy wykonać w miejscach i konfiguracji wskazanej przez Zamawiającego</w:t>
      </w:r>
      <w:r w:rsidR="008B38E4" w:rsidRPr="00B1608A">
        <w:rPr>
          <w:bCs/>
          <w:sz w:val="24"/>
          <w:szCs w:val="24"/>
        </w:rPr>
        <w:t xml:space="preserve"> zgodnie z załączoną mapą lokalizacji stanowisk wiertniczych. Mierniczy górniczy </w:t>
      </w:r>
      <w:r w:rsidR="00B1608A" w:rsidRPr="00B1608A">
        <w:rPr>
          <w:bCs/>
          <w:sz w:val="24"/>
          <w:szCs w:val="24"/>
        </w:rPr>
        <w:t xml:space="preserve">Wykonawcy </w:t>
      </w:r>
      <w:r w:rsidR="008B38E4" w:rsidRPr="00B1608A">
        <w:rPr>
          <w:bCs/>
          <w:sz w:val="24"/>
          <w:szCs w:val="24"/>
        </w:rPr>
        <w:t>określi dokładnie lokalizację stanowiska wiertniczego</w:t>
      </w:r>
      <w:r w:rsidR="00B1608A" w:rsidRPr="00B1608A">
        <w:rPr>
          <w:bCs/>
          <w:sz w:val="24"/>
          <w:szCs w:val="24"/>
        </w:rPr>
        <w:t>:</w:t>
      </w:r>
      <w:r w:rsidR="008B38E4" w:rsidRPr="00B1608A">
        <w:rPr>
          <w:bCs/>
          <w:sz w:val="24"/>
          <w:szCs w:val="24"/>
        </w:rPr>
        <w:t xml:space="preserve"> współrzędne otworu, jego azymut i nachylenie. Siatkę wierceń wyznaczy mierniczy górniczy Wykonawcy po akceptacji mierniczego górniczego Zamawiającego.</w:t>
      </w:r>
    </w:p>
    <w:p w:rsidR="00D602DC" w:rsidRPr="00B1608A" w:rsidRDefault="008B38E4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B1608A">
        <w:rPr>
          <w:bCs/>
          <w:sz w:val="24"/>
          <w:szCs w:val="24"/>
        </w:rPr>
        <w:t>Współrzędne, k</w:t>
      </w:r>
      <w:r w:rsidR="006549B7" w:rsidRPr="00B1608A">
        <w:rPr>
          <w:bCs/>
          <w:sz w:val="24"/>
          <w:szCs w:val="24"/>
        </w:rPr>
        <w:t xml:space="preserve">ierunek i nachylenie otworów w poszczególnych stanowiskach dla stwierdzenia występujących pustek lub stref osłabionej spójności skał wyznaczy uprawniony mierniczy </w:t>
      </w:r>
      <w:r w:rsidR="002A32A3" w:rsidRPr="00B1608A">
        <w:rPr>
          <w:bCs/>
          <w:sz w:val="24"/>
          <w:szCs w:val="24"/>
        </w:rPr>
        <w:t xml:space="preserve">górniczy Wykonawcy </w:t>
      </w:r>
      <w:r w:rsidR="00236C3C" w:rsidRPr="00B1608A">
        <w:rPr>
          <w:bCs/>
          <w:sz w:val="24"/>
          <w:szCs w:val="24"/>
        </w:rPr>
        <w:t>w porozumieniu z mierniczym</w:t>
      </w:r>
      <w:r w:rsidR="002A32A3" w:rsidRPr="00B1608A">
        <w:rPr>
          <w:bCs/>
          <w:sz w:val="24"/>
          <w:szCs w:val="24"/>
        </w:rPr>
        <w:t xml:space="preserve"> górniczym</w:t>
      </w:r>
      <w:r w:rsidR="00236C3C" w:rsidRPr="00B1608A">
        <w:rPr>
          <w:bCs/>
          <w:sz w:val="24"/>
          <w:szCs w:val="24"/>
        </w:rPr>
        <w:t xml:space="preserve"> </w:t>
      </w:r>
      <w:r w:rsidR="002A32A3" w:rsidRPr="00B1608A">
        <w:rPr>
          <w:bCs/>
          <w:sz w:val="24"/>
          <w:szCs w:val="24"/>
        </w:rPr>
        <w:t>Zamawiającego</w:t>
      </w:r>
      <w:r w:rsidR="006549B7" w:rsidRPr="00B1608A">
        <w:rPr>
          <w:bCs/>
          <w:sz w:val="24"/>
          <w:szCs w:val="24"/>
        </w:rPr>
        <w:t>.</w:t>
      </w:r>
    </w:p>
    <w:p w:rsidR="00D602DC" w:rsidRPr="00B1608A" w:rsidRDefault="006549B7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B1608A">
        <w:rPr>
          <w:bCs/>
          <w:sz w:val="24"/>
          <w:szCs w:val="24"/>
        </w:rPr>
        <w:t xml:space="preserve">Wyznaczenia kierunku i nachylenia </w:t>
      </w:r>
      <w:r w:rsidR="00FC00F0" w:rsidRPr="00B1608A">
        <w:rPr>
          <w:bCs/>
          <w:sz w:val="24"/>
          <w:szCs w:val="24"/>
        </w:rPr>
        <w:t xml:space="preserve">wiertnicy do wiercenia </w:t>
      </w:r>
      <w:r w:rsidRPr="00B1608A">
        <w:rPr>
          <w:bCs/>
          <w:sz w:val="24"/>
          <w:szCs w:val="24"/>
        </w:rPr>
        <w:t xml:space="preserve">otworów </w:t>
      </w:r>
      <w:r w:rsidR="00FC00F0" w:rsidRPr="00B1608A">
        <w:rPr>
          <w:bCs/>
          <w:sz w:val="24"/>
          <w:szCs w:val="24"/>
        </w:rPr>
        <w:t xml:space="preserve">dokona </w:t>
      </w:r>
      <w:r w:rsidR="000D66A4" w:rsidRPr="00B1608A">
        <w:rPr>
          <w:bCs/>
          <w:sz w:val="24"/>
          <w:szCs w:val="24"/>
        </w:rPr>
        <w:t xml:space="preserve">uprawniona </w:t>
      </w:r>
      <w:r w:rsidR="00FC00F0" w:rsidRPr="00B1608A">
        <w:rPr>
          <w:bCs/>
          <w:sz w:val="24"/>
          <w:szCs w:val="24"/>
        </w:rPr>
        <w:t xml:space="preserve">osoba </w:t>
      </w:r>
      <w:r w:rsidRPr="00B1608A">
        <w:rPr>
          <w:bCs/>
          <w:sz w:val="24"/>
          <w:szCs w:val="24"/>
        </w:rPr>
        <w:t>Wykonawcy</w:t>
      </w:r>
      <w:r w:rsidR="00FC00F0" w:rsidRPr="00B1608A">
        <w:rPr>
          <w:bCs/>
          <w:sz w:val="24"/>
          <w:szCs w:val="24"/>
        </w:rPr>
        <w:t xml:space="preserve"> na podstawie załączonej mapy, przekroju oraz nadanych </w:t>
      </w:r>
      <w:r w:rsidR="008B38E4" w:rsidRPr="00B1608A">
        <w:rPr>
          <w:bCs/>
          <w:sz w:val="24"/>
          <w:szCs w:val="24"/>
        </w:rPr>
        <w:t xml:space="preserve">współrzędnych, </w:t>
      </w:r>
      <w:r w:rsidR="00FC00F0" w:rsidRPr="00B1608A">
        <w:rPr>
          <w:bCs/>
          <w:sz w:val="24"/>
          <w:szCs w:val="24"/>
        </w:rPr>
        <w:t>kierunków i nachyleń otworów,</w:t>
      </w:r>
      <w:r w:rsidRPr="00B1608A">
        <w:rPr>
          <w:bCs/>
          <w:sz w:val="24"/>
          <w:szCs w:val="24"/>
        </w:rPr>
        <w:t xml:space="preserve"> tak aby </w:t>
      </w:r>
      <w:r w:rsidR="00FC00F0" w:rsidRPr="00B1608A">
        <w:rPr>
          <w:bCs/>
          <w:sz w:val="24"/>
          <w:szCs w:val="24"/>
        </w:rPr>
        <w:t>określić możliwie</w:t>
      </w:r>
      <w:r w:rsidRPr="00B1608A">
        <w:rPr>
          <w:bCs/>
          <w:sz w:val="24"/>
          <w:szCs w:val="24"/>
        </w:rPr>
        <w:t xml:space="preserve"> największą ilość występujących pustek lub stref osłabionej spójności skał wokół </w:t>
      </w:r>
      <w:r w:rsidR="00FA45C1" w:rsidRPr="00B1608A">
        <w:rPr>
          <w:bCs/>
          <w:sz w:val="24"/>
          <w:szCs w:val="24"/>
        </w:rPr>
        <w:t>wyrobisk GKSD i w </w:t>
      </w:r>
      <w:r w:rsidR="00D602DC" w:rsidRPr="00B1608A">
        <w:rPr>
          <w:bCs/>
          <w:sz w:val="24"/>
          <w:szCs w:val="24"/>
        </w:rPr>
        <w:t>pokładzie 510</w:t>
      </w:r>
      <w:r w:rsidR="00AE7E58" w:rsidRPr="00B1608A">
        <w:rPr>
          <w:bCs/>
          <w:sz w:val="24"/>
          <w:szCs w:val="24"/>
        </w:rPr>
        <w:t>.</w:t>
      </w:r>
    </w:p>
    <w:p w:rsidR="00AE7E58" w:rsidRPr="00B1608A" w:rsidRDefault="006549B7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B1608A">
        <w:rPr>
          <w:bCs/>
          <w:sz w:val="24"/>
          <w:szCs w:val="24"/>
        </w:rPr>
        <w:t xml:space="preserve">Wykonawca musi przystąpić do wykonania </w:t>
      </w:r>
      <w:r w:rsidR="00AE7E58" w:rsidRPr="00B1608A">
        <w:rPr>
          <w:bCs/>
          <w:sz w:val="24"/>
          <w:szCs w:val="24"/>
        </w:rPr>
        <w:t xml:space="preserve">robót </w:t>
      </w:r>
      <w:r w:rsidR="00DE248E" w:rsidRPr="00B1608A">
        <w:rPr>
          <w:bCs/>
          <w:sz w:val="24"/>
          <w:szCs w:val="24"/>
        </w:rPr>
        <w:t>niezwłocznie po przekazaniu terenu budowy</w:t>
      </w:r>
      <w:r w:rsidR="00AE7E58" w:rsidRPr="00B1608A">
        <w:rPr>
          <w:bCs/>
          <w:sz w:val="24"/>
          <w:szCs w:val="24"/>
        </w:rPr>
        <w:t>.</w:t>
      </w:r>
    </w:p>
    <w:p w:rsidR="00D064EE" w:rsidRPr="007D77B5" w:rsidRDefault="006549B7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 xml:space="preserve">Zamawiający </w:t>
      </w:r>
      <w:r w:rsidR="000E5A7E">
        <w:rPr>
          <w:bCs/>
          <w:sz w:val="24"/>
          <w:szCs w:val="24"/>
        </w:rPr>
        <w:t>wymaga wykonania</w:t>
      </w:r>
      <w:r w:rsidRPr="007D77B5">
        <w:rPr>
          <w:bCs/>
          <w:sz w:val="24"/>
          <w:szCs w:val="24"/>
        </w:rPr>
        <w:t xml:space="preserve"> robót wiertniczych</w:t>
      </w:r>
      <w:r w:rsidR="00D064EE" w:rsidRPr="007D77B5">
        <w:rPr>
          <w:bCs/>
          <w:sz w:val="24"/>
          <w:szCs w:val="24"/>
        </w:rPr>
        <w:t>:</w:t>
      </w:r>
    </w:p>
    <w:p w:rsidR="00CA6C18" w:rsidRPr="003C626A" w:rsidRDefault="000E5A7E" w:rsidP="0047643B">
      <w:pPr>
        <w:pStyle w:val="Akapitzlist"/>
        <w:numPr>
          <w:ilvl w:val="0"/>
          <w:numId w:val="23"/>
        </w:numPr>
        <w:spacing w:before="120"/>
        <w:jc w:val="both"/>
        <w:rPr>
          <w:bCs/>
          <w:sz w:val="24"/>
          <w:szCs w:val="24"/>
        </w:rPr>
      </w:pPr>
      <w:r w:rsidRPr="003C626A">
        <w:rPr>
          <w:bCs/>
          <w:sz w:val="24"/>
          <w:szCs w:val="24"/>
        </w:rPr>
        <w:t>dla zadania 2</w:t>
      </w:r>
      <w:r w:rsidR="0047643B" w:rsidRPr="003C626A">
        <w:rPr>
          <w:bCs/>
          <w:sz w:val="24"/>
          <w:szCs w:val="24"/>
        </w:rPr>
        <w:t xml:space="preserve"> – do </w:t>
      </w:r>
      <w:r w:rsidR="00514391" w:rsidRPr="003C626A">
        <w:rPr>
          <w:bCs/>
          <w:sz w:val="24"/>
          <w:szCs w:val="24"/>
        </w:rPr>
        <w:t>90 dni kalendarzowych</w:t>
      </w:r>
      <w:r w:rsidR="008B38E4" w:rsidRPr="003C626A">
        <w:rPr>
          <w:bCs/>
          <w:sz w:val="24"/>
          <w:szCs w:val="24"/>
        </w:rPr>
        <w:t xml:space="preserve"> od </w:t>
      </w:r>
      <w:r w:rsidR="00424435" w:rsidRPr="003C626A">
        <w:rPr>
          <w:bCs/>
          <w:sz w:val="24"/>
          <w:szCs w:val="24"/>
        </w:rPr>
        <w:t>daty przekazania terenu budowy</w:t>
      </w:r>
      <w:r w:rsidR="0047643B" w:rsidRPr="003C626A">
        <w:rPr>
          <w:bCs/>
          <w:sz w:val="24"/>
          <w:szCs w:val="24"/>
        </w:rPr>
        <w:t>,</w:t>
      </w:r>
    </w:p>
    <w:p w:rsidR="00514391" w:rsidRPr="003C626A" w:rsidRDefault="00514391" w:rsidP="0047643B">
      <w:pPr>
        <w:pStyle w:val="Akapitzlist"/>
        <w:numPr>
          <w:ilvl w:val="0"/>
          <w:numId w:val="23"/>
        </w:numPr>
        <w:spacing w:before="120"/>
        <w:jc w:val="both"/>
        <w:rPr>
          <w:bCs/>
          <w:sz w:val="24"/>
          <w:szCs w:val="24"/>
        </w:rPr>
      </w:pPr>
      <w:r w:rsidRPr="003C626A">
        <w:rPr>
          <w:bCs/>
          <w:sz w:val="24"/>
          <w:szCs w:val="24"/>
        </w:rPr>
        <w:t>dla zadania 3 – wykonanie otworu w terminie nie dłuższym niż 21 dni</w:t>
      </w:r>
      <w:r w:rsidR="002D3336" w:rsidRPr="003C626A">
        <w:rPr>
          <w:bCs/>
          <w:sz w:val="24"/>
          <w:szCs w:val="24"/>
        </w:rPr>
        <w:t xml:space="preserve"> kalendarzowych</w:t>
      </w:r>
    </w:p>
    <w:p w:rsidR="0047643B" w:rsidRPr="003C626A" w:rsidRDefault="008B38E4" w:rsidP="0047643B">
      <w:pPr>
        <w:pStyle w:val="Akapitzlist"/>
        <w:numPr>
          <w:ilvl w:val="0"/>
          <w:numId w:val="23"/>
        </w:numPr>
        <w:spacing w:before="120"/>
        <w:jc w:val="both"/>
        <w:rPr>
          <w:bCs/>
          <w:sz w:val="24"/>
          <w:szCs w:val="24"/>
        </w:rPr>
      </w:pPr>
      <w:r w:rsidRPr="003C626A">
        <w:rPr>
          <w:bCs/>
          <w:sz w:val="24"/>
          <w:szCs w:val="24"/>
        </w:rPr>
        <w:t>całości umowy</w:t>
      </w:r>
      <w:r w:rsidR="0047643B" w:rsidRPr="003C626A">
        <w:rPr>
          <w:bCs/>
          <w:sz w:val="24"/>
          <w:szCs w:val="24"/>
        </w:rPr>
        <w:t xml:space="preserve"> – </w:t>
      </w:r>
      <w:r w:rsidR="00424435" w:rsidRPr="003C626A">
        <w:rPr>
          <w:bCs/>
          <w:sz w:val="24"/>
          <w:szCs w:val="24"/>
        </w:rPr>
        <w:t xml:space="preserve">do 9 miesięcy od daty </w:t>
      </w:r>
      <w:r w:rsidR="000E5A7E" w:rsidRPr="003C626A">
        <w:rPr>
          <w:bCs/>
          <w:sz w:val="24"/>
          <w:szCs w:val="24"/>
        </w:rPr>
        <w:t>przekazania terenu budowy</w:t>
      </w:r>
      <w:r w:rsidR="0047643B" w:rsidRPr="003C626A">
        <w:rPr>
          <w:bCs/>
          <w:sz w:val="24"/>
          <w:szCs w:val="24"/>
        </w:rPr>
        <w:t>.</w:t>
      </w:r>
    </w:p>
    <w:p w:rsidR="00D602DC" w:rsidRPr="007D77B5" w:rsidRDefault="00CA6C18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 xml:space="preserve">Ze względu na koordynację robót </w:t>
      </w:r>
      <w:r w:rsidR="007D76D1" w:rsidRPr="007D77B5">
        <w:rPr>
          <w:bCs/>
          <w:sz w:val="24"/>
          <w:szCs w:val="24"/>
        </w:rPr>
        <w:t>z innymi pracami prowadzonymi w MGW, koordynacją z</w:t>
      </w:r>
      <w:r w:rsidR="0047643B" w:rsidRPr="007D77B5">
        <w:rPr>
          <w:bCs/>
          <w:sz w:val="24"/>
          <w:szCs w:val="24"/>
        </w:rPr>
        <w:t>e</w:t>
      </w:r>
      <w:r w:rsidR="007D76D1" w:rsidRPr="007D77B5">
        <w:rPr>
          <w:bCs/>
          <w:sz w:val="24"/>
          <w:szCs w:val="24"/>
        </w:rPr>
        <w:t xml:space="preserve"> skaningiem oraz ruchem turystycznym powyższe terminy mogą ule</w:t>
      </w:r>
      <w:r w:rsidR="00622AAC" w:rsidRPr="007D77B5">
        <w:rPr>
          <w:bCs/>
          <w:sz w:val="24"/>
          <w:szCs w:val="24"/>
        </w:rPr>
        <w:t>c</w:t>
      </w:r>
      <w:r w:rsidR="007D76D1" w:rsidRPr="007D77B5">
        <w:rPr>
          <w:bCs/>
          <w:sz w:val="24"/>
          <w:szCs w:val="24"/>
        </w:rPr>
        <w:t xml:space="preserve"> nieznacznymi zmianom.</w:t>
      </w:r>
    </w:p>
    <w:p w:rsidR="00FA45C1" w:rsidRPr="007D77B5" w:rsidRDefault="006549B7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>Wymagany okres gwarancji 12 miesięcy</w:t>
      </w:r>
      <w:r w:rsidR="00FA45C1" w:rsidRPr="007D77B5">
        <w:rPr>
          <w:bCs/>
          <w:sz w:val="24"/>
          <w:szCs w:val="24"/>
        </w:rPr>
        <w:t>.</w:t>
      </w:r>
    </w:p>
    <w:p w:rsidR="006549B7" w:rsidRPr="007D77B5" w:rsidRDefault="006549B7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 xml:space="preserve">Do kalkulacji cenowej należy przyjąć maksymalne ilości przewidywane do wykonania: </w:t>
      </w:r>
    </w:p>
    <w:p w:rsidR="006549B7" w:rsidRPr="007D77B5" w:rsidRDefault="000E5A7E" w:rsidP="00622AAC">
      <w:pPr>
        <w:pStyle w:val="Akapitzlist"/>
        <w:numPr>
          <w:ilvl w:val="0"/>
          <w:numId w:val="24"/>
        </w:numPr>
        <w:spacing w:before="120"/>
        <w:ind w:left="709"/>
        <w:rPr>
          <w:sz w:val="24"/>
          <w:szCs w:val="24"/>
        </w:rPr>
      </w:pPr>
      <w:r>
        <w:rPr>
          <w:sz w:val="24"/>
          <w:szCs w:val="24"/>
        </w:rPr>
        <w:t>2 94</w:t>
      </w:r>
      <w:r w:rsidR="0047643B" w:rsidRPr="007D77B5">
        <w:rPr>
          <w:sz w:val="24"/>
          <w:szCs w:val="24"/>
        </w:rPr>
        <w:t>0</w:t>
      </w:r>
      <w:r w:rsidR="006549B7" w:rsidRPr="007D77B5">
        <w:rPr>
          <w:sz w:val="24"/>
          <w:szCs w:val="24"/>
        </w:rPr>
        <w:t xml:space="preserve"> mb otworów wiertniczych z wyrobiska</w:t>
      </w:r>
    </w:p>
    <w:p w:rsidR="006549B7" w:rsidRPr="007D77B5" w:rsidRDefault="00D52ADD" w:rsidP="00622AAC">
      <w:pPr>
        <w:pStyle w:val="Akapitzlist"/>
        <w:numPr>
          <w:ilvl w:val="0"/>
          <w:numId w:val="24"/>
        </w:numPr>
        <w:spacing w:before="120"/>
        <w:ind w:left="709"/>
        <w:rPr>
          <w:sz w:val="24"/>
          <w:szCs w:val="24"/>
        </w:rPr>
      </w:pPr>
      <w:r w:rsidRPr="007D77B5">
        <w:rPr>
          <w:sz w:val="24"/>
          <w:szCs w:val="24"/>
        </w:rPr>
        <w:t>100</w:t>
      </w:r>
      <w:r w:rsidR="006549B7" w:rsidRPr="007D77B5">
        <w:rPr>
          <w:sz w:val="24"/>
          <w:szCs w:val="24"/>
        </w:rPr>
        <w:t xml:space="preserve"> mb pobrania rdzenia z otworów</w:t>
      </w:r>
      <w:r w:rsidR="00FA10D6">
        <w:rPr>
          <w:sz w:val="24"/>
          <w:szCs w:val="24"/>
        </w:rPr>
        <w:t>,</w:t>
      </w:r>
    </w:p>
    <w:p w:rsidR="006549B7" w:rsidRPr="007D77B5" w:rsidRDefault="00E94E86" w:rsidP="00622AAC">
      <w:pPr>
        <w:pStyle w:val="Akapitzlist"/>
        <w:numPr>
          <w:ilvl w:val="0"/>
          <w:numId w:val="24"/>
        </w:numPr>
        <w:spacing w:before="120"/>
        <w:ind w:left="709"/>
        <w:rPr>
          <w:sz w:val="24"/>
          <w:szCs w:val="24"/>
        </w:rPr>
      </w:pPr>
      <w:r>
        <w:rPr>
          <w:sz w:val="24"/>
          <w:szCs w:val="24"/>
        </w:rPr>
        <w:t>82</w:t>
      </w:r>
      <w:r w:rsidR="0047643B" w:rsidRPr="007D77B5">
        <w:rPr>
          <w:sz w:val="24"/>
          <w:szCs w:val="24"/>
        </w:rPr>
        <w:t>0</w:t>
      </w:r>
      <w:r w:rsidR="006549B7" w:rsidRPr="007D77B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mb orurowania otworów (w tym </w:t>
      </w:r>
      <w:r w:rsidR="000E5A7E">
        <w:rPr>
          <w:sz w:val="24"/>
          <w:szCs w:val="24"/>
        </w:rPr>
        <w:t>rurowanie 2 otworów wydłużonych</w:t>
      </w:r>
      <w:r>
        <w:rPr>
          <w:sz w:val="24"/>
          <w:szCs w:val="24"/>
        </w:rPr>
        <w:t xml:space="preserve"> do maksymalnie 60</w:t>
      </w:r>
      <w:r w:rsidR="00C1673A">
        <w:rPr>
          <w:sz w:val="24"/>
          <w:szCs w:val="24"/>
        </w:rPr>
        <w:t xml:space="preserve"> </w:t>
      </w:r>
      <w:r>
        <w:rPr>
          <w:sz w:val="24"/>
          <w:szCs w:val="24"/>
        </w:rPr>
        <w:t>m),</w:t>
      </w:r>
    </w:p>
    <w:p w:rsidR="00CE792D" w:rsidRPr="007D77B5" w:rsidRDefault="00BF60E6" w:rsidP="00622AAC">
      <w:pPr>
        <w:pStyle w:val="Akapitzlist"/>
        <w:numPr>
          <w:ilvl w:val="0"/>
          <w:numId w:val="24"/>
        </w:numPr>
        <w:spacing w:before="120"/>
        <w:ind w:left="709"/>
        <w:rPr>
          <w:sz w:val="24"/>
          <w:szCs w:val="24"/>
        </w:rPr>
      </w:pPr>
      <w:r>
        <w:rPr>
          <w:sz w:val="24"/>
          <w:szCs w:val="24"/>
        </w:rPr>
        <w:t>2 940</w:t>
      </w:r>
      <w:r w:rsidR="00CE792D" w:rsidRPr="007D77B5">
        <w:rPr>
          <w:sz w:val="24"/>
          <w:szCs w:val="24"/>
        </w:rPr>
        <w:t xml:space="preserve"> mb otworów wiertniczych do likwidacji.</w:t>
      </w:r>
    </w:p>
    <w:p w:rsidR="00622AAC" w:rsidRPr="007D77B5" w:rsidRDefault="00D52ADD" w:rsidP="00622AAC">
      <w:pPr>
        <w:pStyle w:val="Akapitzlist"/>
        <w:numPr>
          <w:ilvl w:val="0"/>
          <w:numId w:val="24"/>
        </w:numPr>
        <w:spacing w:before="120"/>
        <w:ind w:left="709"/>
        <w:rPr>
          <w:sz w:val="24"/>
          <w:szCs w:val="24"/>
        </w:rPr>
      </w:pPr>
      <w:r w:rsidRPr="007D77B5">
        <w:rPr>
          <w:sz w:val="24"/>
          <w:szCs w:val="24"/>
        </w:rPr>
        <w:t xml:space="preserve">wykonanie oraz likwidacja </w:t>
      </w:r>
      <w:r w:rsidR="00424435">
        <w:rPr>
          <w:sz w:val="24"/>
          <w:szCs w:val="24"/>
        </w:rPr>
        <w:t xml:space="preserve">do </w:t>
      </w:r>
      <w:r w:rsidR="0047643B" w:rsidRPr="007D77B5">
        <w:rPr>
          <w:sz w:val="24"/>
          <w:szCs w:val="24"/>
        </w:rPr>
        <w:t>46</w:t>
      </w:r>
      <w:r w:rsidRPr="007D77B5">
        <w:rPr>
          <w:sz w:val="24"/>
          <w:szCs w:val="24"/>
        </w:rPr>
        <w:t xml:space="preserve"> stanowisk wiertniczych.</w:t>
      </w:r>
    </w:p>
    <w:p w:rsidR="007D76D1" w:rsidRPr="007D77B5" w:rsidRDefault="007D76D1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 xml:space="preserve">Zamawiający zastrzega możliwość zmniejszania ilości otworów i ich długości w przypadku </w:t>
      </w:r>
      <w:r w:rsidR="00622AAC" w:rsidRPr="007D77B5">
        <w:rPr>
          <w:bCs/>
          <w:sz w:val="24"/>
          <w:szCs w:val="24"/>
        </w:rPr>
        <w:t xml:space="preserve">stwierdzenia </w:t>
      </w:r>
      <w:r w:rsidRPr="007D77B5">
        <w:rPr>
          <w:bCs/>
          <w:sz w:val="24"/>
          <w:szCs w:val="24"/>
        </w:rPr>
        <w:t>pustek przez wcześniej wykonane otwory</w:t>
      </w:r>
      <w:r w:rsidR="00622AAC" w:rsidRPr="007D77B5">
        <w:rPr>
          <w:bCs/>
          <w:sz w:val="24"/>
          <w:szCs w:val="24"/>
        </w:rPr>
        <w:t xml:space="preserve"> z danego stanowiska</w:t>
      </w:r>
      <w:r w:rsidRPr="007D77B5">
        <w:rPr>
          <w:bCs/>
          <w:sz w:val="24"/>
          <w:szCs w:val="24"/>
        </w:rPr>
        <w:t>.</w:t>
      </w:r>
    </w:p>
    <w:p w:rsidR="00622AAC" w:rsidRPr="007D77B5" w:rsidRDefault="00D52ADD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 xml:space="preserve">Otwory będą likwidowane po </w:t>
      </w:r>
      <w:r w:rsidR="00424435">
        <w:rPr>
          <w:bCs/>
          <w:sz w:val="24"/>
          <w:szCs w:val="24"/>
        </w:rPr>
        <w:t xml:space="preserve">uzgodnieniu z </w:t>
      </w:r>
      <w:r w:rsidRPr="007D77B5">
        <w:rPr>
          <w:bCs/>
          <w:sz w:val="24"/>
          <w:szCs w:val="24"/>
        </w:rPr>
        <w:t>Zamawiając</w:t>
      </w:r>
      <w:r w:rsidR="00424435">
        <w:rPr>
          <w:bCs/>
          <w:sz w:val="24"/>
          <w:szCs w:val="24"/>
        </w:rPr>
        <w:t>ym</w:t>
      </w:r>
      <w:r w:rsidRPr="007D77B5">
        <w:rPr>
          <w:bCs/>
          <w:sz w:val="24"/>
          <w:szCs w:val="24"/>
        </w:rPr>
        <w:t>. Likwidacja otworów rurowanych nastąpi po rozpoznaniu i wykonaniu pomiarów pustek za pomocą skaningu laserowego.</w:t>
      </w:r>
    </w:p>
    <w:p w:rsidR="00D52ADD" w:rsidRPr="007D77B5" w:rsidRDefault="00D52ADD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lastRenderedPageBreak/>
        <w:t>Zamawiający przewiduje, iż likwidacja otworów</w:t>
      </w:r>
      <w:r w:rsidR="00622AAC" w:rsidRPr="007D77B5">
        <w:rPr>
          <w:bCs/>
          <w:sz w:val="24"/>
          <w:szCs w:val="24"/>
        </w:rPr>
        <w:t xml:space="preserve"> rurowanych</w:t>
      </w:r>
      <w:r w:rsidRPr="007D77B5">
        <w:rPr>
          <w:bCs/>
          <w:sz w:val="24"/>
          <w:szCs w:val="24"/>
        </w:rPr>
        <w:t xml:space="preserve"> nastąpi maksymalnie do 3 (trzech) tygodni od chwili zakończenia wiercenia i </w:t>
      </w:r>
      <w:r w:rsidR="00424435">
        <w:rPr>
          <w:bCs/>
          <w:sz w:val="24"/>
          <w:szCs w:val="24"/>
        </w:rPr>
        <w:t>o</w:t>
      </w:r>
      <w:r w:rsidRPr="007D77B5">
        <w:rPr>
          <w:bCs/>
          <w:sz w:val="24"/>
          <w:szCs w:val="24"/>
        </w:rPr>
        <w:t>rurowania otworu.</w:t>
      </w:r>
    </w:p>
    <w:p w:rsidR="00D52ADD" w:rsidRPr="007D77B5" w:rsidRDefault="00D52ADD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Cs/>
          <w:sz w:val="24"/>
          <w:szCs w:val="24"/>
        </w:rPr>
      </w:pPr>
      <w:r w:rsidRPr="007D77B5">
        <w:rPr>
          <w:bCs/>
          <w:sz w:val="24"/>
          <w:szCs w:val="24"/>
        </w:rPr>
        <w:t>Zamawiający dopuszcza możliwość rezygnacji z likwidacji poszczególnych otworów pod warunkiem zabezpieczenia ich w sposób zgodny z zasadami sztuki i wykluczający powstanie zagrożeń dla wyrobisk, powierzchni i ludzi przebywających w wyrobiskach.</w:t>
      </w:r>
    </w:p>
    <w:p w:rsidR="00622AAC" w:rsidRPr="007D77B5" w:rsidRDefault="006549B7" w:rsidP="00622AAC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b/>
          <w:bCs/>
          <w:sz w:val="28"/>
          <w:szCs w:val="24"/>
        </w:rPr>
      </w:pPr>
      <w:r w:rsidRPr="007D77B5">
        <w:rPr>
          <w:b/>
          <w:bCs/>
          <w:sz w:val="28"/>
          <w:szCs w:val="24"/>
        </w:rPr>
        <w:t>Podstawowe uwarunkowania r</w:t>
      </w:r>
      <w:r w:rsidR="00622AAC" w:rsidRPr="007D77B5">
        <w:rPr>
          <w:b/>
          <w:bCs/>
          <w:sz w:val="28"/>
          <w:szCs w:val="24"/>
        </w:rPr>
        <w:t>ealizacji przedmiotu zamówienia:</w:t>
      </w:r>
    </w:p>
    <w:p w:rsidR="00FA45C1" w:rsidRPr="007D77B5" w:rsidRDefault="006549B7" w:rsidP="00622AAC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/>
          <w:bCs/>
          <w:sz w:val="28"/>
          <w:szCs w:val="24"/>
        </w:rPr>
      </w:pPr>
      <w:r w:rsidRPr="007D77B5">
        <w:rPr>
          <w:rFonts w:eastAsia="Calibri"/>
          <w:sz w:val="24"/>
          <w:szCs w:val="24"/>
          <w:lang w:eastAsia="en-US"/>
        </w:rPr>
        <w:t>Wiercenia realizowane w ramach niniejszego zamówienia będą elementem pomocniczym dla wykonania pomiarów i skaningu występujących pustek lub stref osłabionych skał wokół wyrobisk. Z uwagi na</w:t>
      </w:r>
      <w:r w:rsidR="00D52ADD" w:rsidRPr="007D77B5">
        <w:rPr>
          <w:rFonts w:eastAsia="Calibri"/>
          <w:sz w:val="24"/>
          <w:szCs w:val="24"/>
          <w:lang w:eastAsia="en-US"/>
        </w:rPr>
        <w:t xml:space="preserve"> powyższe Wykonawca</w:t>
      </w:r>
      <w:r w:rsidRPr="007D77B5">
        <w:rPr>
          <w:rFonts w:eastAsia="Calibri"/>
          <w:sz w:val="24"/>
          <w:szCs w:val="24"/>
          <w:lang w:eastAsia="en-US"/>
        </w:rPr>
        <w:t xml:space="preserve"> niniejszego </w:t>
      </w:r>
      <w:r w:rsidR="00D52ADD" w:rsidRPr="007D77B5">
        <w:rPr>
          <w:rFonts w:eastAsia="Calibri"/>
          <w:sz w:val="24"/>
          <w:szCs w:val="24"/>
          <w:lang w:eastAsia="en-US"/>
        </w:rPr>
        <w:t>zamówienia będzie realizował</w:t>
      </w:r>
      <w:r w:rsidRPr="007D77B5">
        <w:rPr>
          <w:rFonts w:eastAsia="Calibri"/>
          <w:sz w:val="24"/>
          <w:szCs w:val="24"/>
          <w:lang w:eastAsia="en-US"/>
        </w:rPr>
        <w:t xml:space="preserve"> </w:t>
      </w:r>
      <w:r w:rsidR="00D52ADD" w:rsidRPr="007D77B5">
        <w:rPr>
          <w:rFonts w:eastAsia="Calibri"/>
          <w:sz w:val="24"/>
          <w:szCs w:val="24"/>
          <w:lang w:eastAsia="en-US"/>
        </w:rPr>
        <w:t xml:space="preserve">wszystkie prace </w:t>
      </w:r>
      <w:proofErr w:type="spellStart"/>
      <w:r w:rsidRPr="007D77B5">
        <w:rPr>
          <w:rFonts w:eastAsia="Calibri"/>
          <w:sz w:val="24"/>
          <w:szCs w:val="24"/>
          <w:lang w:eastAsia="en-US"/>
        </w:rPr>
        <w:t>wg</w:t>
      </w:r>
      <w:proofErr w:type="spellEnd"/>
      <w:r w:rsidRPr="007D77B5">
        <w:rPr>
          <w:rFonts w:eastAsia="Calibri"/>
          <w:sz w:val="24"/>
          <w:szCs w:val="24"/>
          <w:lang w:eastAsia="en-US"/>
        </w:rPr>
        <w:t>. szczegółowych wskazówek i zaleceń Zamawiającego z zastrzeżeniem wymogu zgodności zapisów niniejszej specyfikacji.</w:t>
      </w:r>
    </w:p>
    <w:p w:rsidR="00FA45C1" w:rsidRPr="007D77B5" w:rsidRDefault="006549B7" w:rsidP="008B1704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Wykonawca </w:t>
      </w:r>
      <w:r w:rsidR="0093347B">
        <w:rPr>
          <w:rFonts w:eastAsia="Calibri"/>
          <w:sz w:val="24"/>
          <w:szCs w:val="24"/>
          <w:lang w:eastAsia="en-US"/>
        </w:rPr>
        <w:t xml:space="preserve">uzgodni </w:t>
      </w:r>
      <w:r w:rsidRPr="007D77B5">
        <w:rPr>
          <w:rFonts w:eastAsia="Calibri"/>
          <w:sz w:val="24"/>
          <w:szCs w:val="24"/>
          <w:lang w:eastAsia="en-US"/>
        </w:rPr>
        <w:t xml:space="preserve">kolejność prac wiertniczych </w:t>
      </w:r>
      <w:r w:rsidR="0093347B">
        <w:rPr>
          <w:rFonts w:eastAsia="Calibri"/>
          <w:sz w:val="24"/>
          <w:szCs w:val="24"/>
          <w:lang w:eastAsia="en-US"/>
        </w:rPr>
        <w:t xml:space="preserve">i </w:t>
      </w:r>
      <w:r w:rsidR="0093347B" w:rsidRPr="007D77B5">
        <w:rPr>
          <w:rFonts w:eastAsia="Calibri"/>
          <w:sz w:val="24"/>
          <w:szCs w:val="24"/>
          <w:lang w:eastAsia="en-US"/>
        </w:rPr>
        <w:t xml:space="preserve">dostosuje </w:t>
      </w:r>
      <w:r w:rsidRPr="007D77B5">
        <w:rPr>
          <w:rFonts w:eastAsia="Calibri"/>
          <w:sz w:val="24"/>
          <w:szCs w:val="24"/>
          <w:lang w:eastAsia="en-US"/>
        </w:rPr>
        <w:t>do potrzeb Zamawiającego.</w:t>
      </w:r>
    </w:p>
    <w:p w:rsidR="006549B7" w:rsidRPr="00B1608A" w:rsidRDefault="006549B7" w:rsidP="008B1704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B1608A">
        <w:rPr>
          <w:rFonts w:eastAsia="Calibri"/>
          <w:sz w:val="24"/>
          <w:szCs w:val="24"/>
          <w:lang w:eastAsia="en-US"/>
        </w:rPr>
        <w:t>Wykonawca zobowiązany jest do sporządzenia „Projektu robót wiertniczych wraz z technologią wykonywania robót” – w przypadku wiercenia otworów o długości większej niż 10</w:t>
      </w:r>
      <w:r w:rsidR="00FA45C1" w:rsidRPr="00B1608A">
        <w:rPr>
          <w:rFonts w:eastAsia="Calibri"/>
          <w:sz w:val="24"/>
          <w:szCs w:val="24"/>
          <w:lang w:eastAsia="en-US"/>
        </w:rPr>
        <w:t xml:space="preserve"> </w:t>
      </w:r>
      <w:r w:rsidRPr="00B1608A">
        <w:rPr>
          <w:rFonts w:eastAsia="Calibri"/>
          <w:sz w:val="24"/>
          <w:szCs w:val="24"/>
          <w:lang w:eastAsia="en-US"/>
        </w:rPr>
        <w:t>m zgodnie z §</w:t>
      </w:r>
      <w:r w:rsidR="00FA45C1" w:rsidRPr="00B1608A">
        <w:rPr>
          <w:rFonts w:eastAsia="Calibri"/>
          <w:sz w:val="24"/>
          <w:szCs w:val="24"/>
          <w:lang w:eastAsia="en-US"/>
        </w:rPr>
        <w:t xml:space="preserve"> </w:t>
      </w:r>
      <w:r w:rsidRPr="00B1608A">
        <w:rPr>
          <w:rFonts w:eastAsia="Calibri"/>
          <w:sz w:val="24"/>
          <w:szCs w:val="24"/>
          <w:lang w:eastAsia="en-US"/>
        </w:rPr>
        <w:t>38 Rozporządzenia Ministra Energii z 23 listopada 2016r. (</w:t>
      </w:r>
      <w:proofErr w:type="spellStart"/>
      <w:r w:rsidRPr="00B1608A">
        <w:rPr>
          <w:rFonts w:eastAsia="Calibri"/>
          <w:sz w:val="24"/>
          <w:szCs w:val="24"/>
          <w:lang w:eastAsia="en-US"/>
        </w:rPr>
        <w:t>Dz.U</w:t>
      </w:r>
      <w:proofErr w:type="spellEnd"/>
      <w:r w:rsidRPr="00B1608A">
        <w:rPr>
          <w:rFonts w:eastAsia="Calibri"/>
          <w:sz w:val="24"/>
          <w:szCs w:val="24"/>
          <w:lang w:eastAsia="en-US"/>
        </w:rPr>
        <w:t>. z 9 czerwca 2017 r., poz. 1118).</w:t>
      </w:r>
    </w:p>
    <w:p w:rsidR="006549B7" w:rsidRPr="00B1608A" w:rsidRDefault="006549B7" w:rsidP="008B1704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B1608A">
        <w:rPr>
          <w:rFonts w:eastAsia="Calibri"/>
          <w:sz w:val="24"/>
          <w:szCs w:val="24"/>
          <w:lang w:eastAsia="en-US"/>
        </w:rPr>
        <w:t>Wykonawca na własny koszt powinien zapewnić:</w:t>
      </w:r>
    </w:p>
    <w:p w:rsidR="00FA45C1" w:rsidRPr="007D77B5" w:rsidRDefault="0093347B" w:rsidP="00FA45C1">
      <w:pPr>
        <w:pStyle w:val="Akapitzlist"/>
        <w:numPr>
          <w:ilvl w:val="0"/>
          <w:numId w:val="17"/>
        </w:numPr>
        <w:suppressAutoHyphens/>
        <w:spacing w:before="120"/>
        <w:ind w:left="993" w:hanging="426"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eastAsia="en-US"/>
        </w:rPr>
        <w:t>m</w:t>
      </w:r>
      <w:r w:rsidR="008B1704" w:rsidRPr="007D77B5">
        <w:rPr>
          <w:rFonts w:eastAsia="Calibri"/>
          <w:sz w:val="24"/>
          <w:szCs w:val="24"/>
          <w:lang w:eastAsia="en-US"/>
        </w:rPr>
        <w:t>inimum jedną wiertnicę</w:t>
      </w:r>
      <w:r w:rsidR="00D52ADD" w:rsidRPr="007D77B5">
        <w:rPr>
          <w:rFonts w:eastAsia="Calibri"/>
          <w:sz w:val="24"/>
          <w:szCs w:val="24"/>
          <w:lang w:eastAsia="en-US"/>
        </w:rPr>
        <w:t xml:space="preserve"> o dowolnym napędzie </w:t>
      </w:r>
      <w:r w:rsidR="006549B7" w:rsidRPr="007D77B5">
        <w:rPr>
          <w:sz w:val="24"/>
          <w:szCs w:val="24"/>
          <w:lang w:eastAsia="ar-SA"/>
        </w:rPr>
        <w:t xml:space="preserve">wraz z </w:t>
      </w:r>
      <w:r w:rsidR="00D52ADD" w:rsidRPr="007D77B5">
        <w:rPr>
          <w:sz w:val="24"/>
          <w:szCs w:val="24"/>
          <w:lang w:eastAsia="ar-SA"/>
        </w:rPr>
        <w:t xml:space="preserve">niezbędnym </w:t>
      </w:r>
      <w:r w:rsidR="006549B7" w:rsidRPr="007D77B5">
        <w:rPr>
          <w:sz w:val="24"/>
          <w:szCs w:val="24"/>
          <w:lang w:eastAsia="ar-SA"/>
        </w:rPr>
        <w:t>osprzętem,</w:t>
      </w:r>
    </w:p>
    <w:p w:rsidR="00FA45C1" w:rsidRPr="007D77B5" w:rsidRDefault="00D67BDD" w:rsidP="00FA45C1">
      <w:pPr>
        <w:pStyle w:val="Akapitzlist"/>
        <w:numPr>
          <w:ilvl w:val="0"/>
          <w:numId w:val="17"/>
        </w:numPr>
        <w:suppressAutoHyphens/>
        <w:spacing w:before="120"/>
        <w:ind w:left="993" w:hanging="426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a</w:t>
      </w:r>
      <w:r w:rsidR="00D52ADD" w:rsidRPr="007D77B5">
        <w:rPr>
          <w:rFonts w:eastAsia="Calibri"/>
          <w:sz w:val="24"/>
          <w:szCs w:val="24"/>
          <w:lang w:eastAsia="en-US"/>
        </w:rPr>
        <w:t xml:space="preserve">dekwatny do </w:t>
      </w:r>
      <w:r w:rsidRPr="007D77B5">
        <w:rPr>
          <w:rFonts w:eastAsia="Calibri"/>
          <w:sz w:val="24"/>
          <w:szCs w:val="24"/>
          <w:lang w:eastAsia="en-US"/>
        </w:rPr>
        <w:t>zastosowanego typu wiertnic instalację zasilającą (Zamawiający zapewnia zasilani</w:t>
      </w:r>
      <w:r w:rsidR="006439BA" w:rsidRPr="007D77B5">
        <w:rPr>
          <w:rFonts w:eastAsia="Calibri"/>
          <w:sz w:val="24"/>
          <w:szCs w:val="24"/>
          <w:lang w:eastAsia="en-US"/>
        </w:rPr>
        <w:t xml:space="preserve">e elektryczne zgodnie z pkt. </w:t>
      </w:r>
      <w:r w:rsidR="008B1704" w:rsidRPr="007D77B5">
        <w:rPr>
          <w:rFonts w:eastAsia="Calibri"/>
          <w:sz w:val="24"/>
          <w:szCs w:val="24"/>
          <w:lang w:eastAsia="en-US"/>
        </w:rPr>
        <w:t>3.5</w:t>
      </w:r>
      <w:r w:rsidRPr="007D77B5">
        <w:rPr>
          <w:rFonts w:eastAsia="Calibri"/>
          <w:sz w:val="24"/>
          <w:szCs w:val="24"/>
          <w:lang w:eastAsia="en-US"/>
        </w:rPr>
        <w:t>),</w:t>
      </w:r>
    </w:p>
    <w:p w:rsidR="00FA45C1" w:rsidRPr="007D77B5" w:rsidRDefault="006549B7" w:rsidP="00FA45C1">
      <w:pPr>
        <w:pStyle w:val="Akapitzlist"/>
        <w:numPr>
          <w:ilvl w:val="0"/>
          <w:numId w:val="17"/>
        </w:numPr>
        <w:suppressAutoHyphens/>
        <w:spacing w:before="120"/>
        <w:ind w:left="993" w:hanging="426"/>
        <w:jc w:val="both"/>
        <w:rPr>
          <w:sz w:val="24"/>
          <w:szCs w:val="24"/>
          <w:lang w:eastAsia="ar-SA"/>
        </w:rPr>
      </w:pPr>
      <w:r w:rsidRPr="007D77B5">
        <w:rPr>
          <w:sz w:val="24"/>
          <w:szCs w:val="24"/>
          <w:lang w:eastAsia="ar-SA"/>
        </w:rPr>
        <w:t>żerdzie wiertnicze z koronkami,</w:t>
      </w:r>
    </w:p>
    <w:p w:rsidR="00FA45C1" w:rsidRPr="007D77B5" w:rsidRDefault="006549B7" w:rsidP="00FA45C1">
      <w:pPr>
        <w:pStyle w:val="Akapitzlist"/>
        <w:numPr>
          <w:ilvl w:val="0"/>
          <w:numId w:val="17"/>
        </w:numPr>
        <w:suppressAutoHyphens/>
        <w:spacing w:before="120"/>
        <w:ind w:left="993" w:hanging="426"/>
        <w:jc w:val="both"/>
        <w:rPr>
          <w:sz w:val="24"/>
          <w:szCs w:val="24"/>
          <w:lang w:eastAsia="ar-SA"/>
        </w:rPr>
      </w:pPr>
      <w:r w:rsidRPr="007D77B5">
        <w:rPr>
          <w:sz w:val="24"/>
          <w:szCs w:val="24"/>
          <w:lang w:eastAsia="ar-SA"/>
        </w:rPr>
        <w:t xml:space="preserve">inny niezbędny sprzęt, narzędzia i materiały konieczne do prawidłowego wykonania robót wiertniczych, </w:t>
      </w:r>
    </w:p>
    <w:p w:rsidR="00FA45C1" w:rsidRPr="007D77B5" w:rsidRDefault="006549B7" w:rsidP="00FA45C1">
      <w:pPr>
        <w:pStyle w:val="Akapitzlist"/>
        <w:numPr>
          <w:ilvl w:val="0"/>
          <w:numId w:val="17"/>
        </w:numPr>
        <w:suppressAutoHyphens/>
        <w:spacing w:before="120"/>
        <w:ind w:left="993" w:hanging="426"/>
        <w:jc w:val="both"/>
        <w:rPr>
          <w:sz w:val="24"/>
          <w:szCs w:val="24"/>
          <w:lang w:eastAsia="ar-SA"/>
        </w:rPr>
      </w:pPr>
      <w:r w:rsidRPr="007D77B5">
        <w:rPr>
          <w:sz w:val="24"/>
          <w:szCs w:val="24"/>
          <w:lang w:eastAsia="ar-SA"/>
        </w:rPr>
        <w:t>wykonanie instalacji elektrycznej na własne potrzeby od miejsca poboru energii,</w:t>
      </w:r>
    </w:p>
    <w:p w:rsidR="00FA45C1" w:rsidRPr="007D77B5" w:rsidRDefault="006549B7" w:rsidP="00FA45C1">
      <w:pPr>
        <w:pStyle w:val="Akapitzlist"/>
        <w:numPr>
          <w:ilvl w:val="0"/>
          <w:numId w:val="17"/>
        </w:numPr>
        <w:suppressAutoHyphens/>
        <w:spacing w:before="120"/>
        <w:ind w:left="993" w:hanging="426"/>
        <w:jc w:val="both"/>
        <w:rPr>
          <w:sz w:val="24"/>
          <w:szCs w:val="24"/>
          <w:lang w:eastAsia="ar-SA"/>
        </w:rPr>
      </w:pPr>
      <w:r w:rsidRPr="007D77B5">
        <w:rPr>
          <w:sz w:val="24"/>
          <w:szCs w:val="24"/>
          <w:lang w:eastAsia="ar-SA"/>
        </w:rPr>
        <w:t>wykonanie instalacji wodnej na własne potrzeby od miejsca poboru</w:t>
      </w:r>
      <w:r w:rsidR="0093347B">
        <w:rPr>
          <w:sz w:val="24"/>
          <w:szCs w:val="24"/>
          <w:lang w:eastAsia="ar-SA"/>
        </w:rPr>
        <w:t xml:space="preserve"> wody</w:t>
      </w:r>
      <w:r w:rsidRPr="007D77B5">
        <w:rPr>
          <w:sz w:val="24"/>
          <w:szCs w:val="24"/>
          <w:lang w:eastAsia="ar-SA"/>
        </w:rPr>
        <w:t>,</w:t>
      </w:r>
    </w:p>
    <w:p w:rsidR="00FA45C1" w:rsidRPr="007D77B5" w:rsidRDefault="006549B7" w:rsidP="00FA45C1">
      <w:pPr>
        <w:pStyle w:val="Akapitzlist"/>
        <w:numPr>
          <w:ilvl w:val="0"/>
          <w:numId w:val="17"/>
        </w:numPr>
        <w:suppressAutoHyphens/>
        <w:spacing w:before="120"/>
        <w:ind w:left="993" w:hanging="426"/>
        <w:jc w:val="both"/>
        <w:rPr>
          <w:sz w:val="24"/>
          <w:szCs w:val="24"/>
          <w:lang w:eastAsia="ar-SA"/>
        </w:rPr>
      </w:pPr>
      <w:r w:rsidRPr="007D77B5">
        <w:rPr>
          <w:sz w:val="24"/>
          <w:szCs w:val="24"/>
          <w:lang w:eastAsia="ar-SA"/>
        </w:rPr>
        <w:t>wykonanie i zabezpieczenie stanowisk wiertniczych oraz ich likwidację po zakończeniu prac,</w:t>
      </w:r>
    </w:p>
    <w:p w:rsidR="006549B7" w:rsidRPr="007D77B5" w:rsidRDefault="006549B7" w:rsidP="00FA45C1">
      <w:pPr>
        <w:pStyle w:val="Akapitzlist"/>
        <w:numPr>
          <w:ilvl w:val="0"/>
          <w:numId w:val="17"/>
        </w:numPr>
        <w:suppressAutoHyphens/>
        <w:spacing w:before="120"/>
        <w:ind w:left="993" w:hanging="426"/>
        <w:jc w:val="both"/>
        <w:rPr>
          <w:sz w:val="24"/>
          <w:szCs w:val="24"/>
          <w:lang w:eastAsia="ar-SA"/>
        </w:rPr>
      </w:pPr>
      <w:r w:rsidRPr="007D77B5">
        <w:rPr>
          <w:sz w:val="24"/>
          <w:szCs w:val="24"/>
          <w:lang w:eastAsia="ar-SA"/>
        </w:rPr>
        <w:t xml:space="preserve">rury stalowe lub z innego </w:t>
      </w:r>
      <w:r w:rsidR="00E05373" w:rsidRPr="007D77B5">
        <w:rPr>
          <w:sz w:val="24"/>
          <w:szCs w:val="24"/>
          <w:lang w:eastAsia="ar-SA"/>
        </w:rPr>
        <w:t xml:space="preserve">trwałego </w:t>
      </w:r>
      <w:r w:rsidRPr="007D77B5">
        <w:rPr>
          <w:sz w:val="24"/>
          <w:szCs w:val="24"/>
          <w:lang w:eastAsia="ar-SA"/>
        </w:rPr>
        <w:t>materiału do rurowania otwo</w:t>
      </w:r>
      <w:r w:rsidR="008B1704" w:rsidRPr="007D77B5">
        <w:rPr>
          <w:sz w:val="24"/>
          <w:szCs w:val="24"/>
          <w:lang w:eastAsia="ar-SA"/>
        </w:rPr>
        <w:t>rów wraz z niezbędnym osprzętem.</w:t>
      </w:r>
    </w:p>
    <w:p w:rsidR="00FA45C1" w:rsidRPr="00B1608A" w:rsidRDefault="006549B7" w:rsidP="008B1704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B1608A">
        <w:rPr>
          <w:rFonts w:eastAsia="Calibri"/>
          <w:sz w:val="24"/>
          <w:szCs w:val="24"/>
          <w:lang w:eastAsia="en-US"/>
        </w:rPr>
        <w:t>Wykonawca będzie stosował dołowe urządzenia wiertnicze</w:t>
      </w:r>
      <w:r w:rsidR="008B1704" w:rsidRPr="00B1608A">
        <w:rPr>
          <w:rFonts w:eastAsia="Calibri"/>
          <w:sz w:val="24"/>
          <w:szCs w:val="24"/>
          <w:lang w:eastAsia="en-US"/>
        </w:rPr>
        <w:t xml:space="preserve"> </w:t>
      </w:r>
      <w:r w:rsidRPr="00B1608A">
        <w:rPr>
          <w:rFonts w:eastAsia="Calibri"/>
          <w:sz w:val="24"/>
          <w:szCs w:val="24"/>
          <w:lang w:eastAsia="en-US"/>
        </w:rPr>
        <w:t xml:space="preserve">o zasilaniu elektrycznym przy napięciu 230V lub 500V. </w:t>
      </w:r>
      <w:r w:rsidR="00B1608A" w:rsidRPr="00B1608A">
        <w:rPr>
          <w:rFonts w:eastAsia="Calibri"/>
          <w:sz w:val="24"/>
          <w:szCs w:val="24"/>
          <w:lang w:eastAsia="en-US"/>
        </w:rPr>
        <w:t>Możliwe jest wykorzystanie p</w:t>
      </w:r>
      <w:r w:rsidRPr="00B1608A">
        <w:rPr>
          <w:rFonts w:eastAsia="Calibri"/>
          <w:sz w:val="24"/>
          <w:szCs w:val="24"/>
          <w:lang w:eastAsia="en-US"/>
        </w:rPr>
        <w:t>rzyłącz</w:t>
      </w:r>
      <w:r w:rsidR="00FB1C2B">
        <w:rPr>
          <w:rFonts w:eastAsia="Calibri"/>
          <w:sz w:val="24"/>
          <w:szCs w:val="24"/>
          <w:lang w:eastAsia="en-US"/>
        </w:rPr>
        <w:t>y</w:t>
      </w:r>
      <w:r w:rsidRPr="00B1608A">
        <w:rPr>
          <w:rFonts w:eastAsia="Calibri"/>
          <w:sz w:val="24"/>
          <w:szCs w:val="24"/>
          <w:lang w:eastAsia="en-US"/>
        </w:rPr>
        <w:t xml:space="preserve"> 500V z izolowa</w:t>
      </w:r>
      <w:r w:rsidR="00FB1C2B">
        <w:rPr>
          <w:rFonts w:eastAsia="Calibri"/>
          <w:sz w:val="24"/>
          <w:szCs w:val="24"/>
          <w:lang w:eastAsia="en-US"/>
        </w:rPr>
        <w:t xml:space="preserve">nym punktem zerowym  o mocach do 15kV (maksymalnie moc dyspozycyjna wynosi </w:t>
      </w:r>
      <w:r w:rsidR="00B1608A" w:rsidRPr="00B1608A">
        <w:rPr>
          <w:rFonts w:eastAsia="Calibri"/>
          <w:sz w:val="24"/>
          <w:szCs w:val="24"/>
          <w:lang w:eastAsia="en-US"/>
        </w:rPr>
        <w:t>do 4</w:t>
      </w:r>
      <w:r w:rsidRPr="00B1608A">
        <w:rPr>
          <w:rFonts w:eastAsia="Calibri"/>
          <w:sz w:val="24"/>
          <w:szCs w:val="24"/>
          <w:lang w:eastAsia="en-US"/>
        </w:rPr>
        <w:t>0kVA</w:t>
      </w:r>
      <w:r w:rsidR="00FB1C2B">
        <w:rPr>
          <w:rFonts w:eastAsia="Calibri"/>
          <w:sz w:val="24"/>
          <w:szCs w:val="24"/>
          <w:lang w:eastAsia="en-US"/>
        </w:rPr>
        <w:t>)</w:t>
      </w:r>
      <w:r w:rsidR="00B1608A" w:rsidRPr="00B1608A">
        <w:rPr>
          <w:rFonts w:eastAsia="Calibri"/>
          <w:sz w:val="24"/>
          <w:szCs w:val="24"/>
          <w:lang w:eastAsia="en-US"/>
        </w:rPr>
        <w:t>.</w:t>
      </w:r>
      <w:r w:rsidRPr="00B1608A">
        <w:rPr>
          <w:rFonts w:eastAsia="Calibri"/>
          <w:sz w:val="24"/>
          <w:szCs w:val="24"/>
          <w:lang w:eastAsia="en-US"/>
        </w:rPr>
        <w:t xml:space="preserve"> Istnieje możliwość korzystania z urządzeń zasilanych </w:t>
      </w:r>
      <w:r w:rsidR="00B1608A" w:rsidRPr="00B1608A">
        <w:rPr>
          <w:rFonts w:eastAsia="Calibri"/>
          <w:sz w:val="24"/>
          <w:szCs w:val="24"/>
          <w:lang w:eastAsia="en-US"/>
        </w:rPr>
        <w:t xml:space="preserve">z </w:t>
      </w:r>
      <w:r w:rsidRPr="00B1608A">
        <w:rPr>
          <w:rFonts w:eastAsia="Calibri"/>
          <w:sz w:val="24"/>
          <w:szCs w:val="24"/>
          <w:lang w:eastAsia="en-US"/>
        </w:rPr>
        <w:t>instalacji oświetleniowej</w:t>
      </w:r>
      <w:r w:rsidR="00B1608A" w:rsidRPr="00B1608A">
        <w:rPr>
          <w:rFonts w:eastAsia="Calibri"/>
          <w:sz w:val="24"/>
          <w:szCs w:val="24"/>
          <w:lang w:eastAsia="en-US"/>
        </w:rPr>
        <w:t xml:space="preserve"> (technicznej lub turystycznej)</w:t>
      </w:r>
      <w:r w:rsidRPr="00B1608A">
        <w:rPr>
          <w:rFonts w:eastAsia="Calibri"/>
          <w:sz w:val="24"/>
          <w:szCs w:val="24"/>
          <w:lang w:eastAsia="en-US"/>
        </w:rPr>
        <w:t xml:space="preserve"> TN 230V</w:t>
      </w:r>
      <w:r w:rsidR="00B1608A" w:rsidRPr="00B1608A">
        <w:rPr>
          <w:rFonts w:eastAsia="Calibri"/>
          <w:sz w:val="24"/>
          <w:szCs w:val="24"/>
          <w:lang w:eastAsia="en-US"/>
        </w:rPr>
        <w:t xml:space="preserve"> o mocy do 2 </w:t>
      </w:r>
      <w:proofErr w:type="spellStart"/>
      <w:r w:rsidR="00B1608A" w:rsidRPr="00B1608A">
        <w:rPr>
          <w:rFonts w:eastAsia="Calibri"/>
          <w:sz w:val="24"/>
          <w:szCs w:val="24"/>
          <w:lang w:eastAsia="en-US"/>
        </w:rPr>
        <w:t>kW</w:t>
      </w:r>
      <w:proofErr w:type="spellEnd"/>
      <w:r w:rsidR="00FB1C2B">
        <w:rPr>
          <w:rFonts w:eastAsia="Calibri"/>
          <w:sz w:val="24"/>
          <w:szCs w:val="24"/>
          <w:lang w:eastAsia="en-US"/>
        </w:rPr>
        <w:t>.  Instalacje te dostępne</w:t>
      </w:r>
      <w:r w:rsidRPr="00B1608A">
        <w:rPr>
          <w:rFonts w:eastAsia="Calibri"/>
          <w:sz w:val="24"/>
          <w:szCs w:val="24"/>
          <w:lang w:eastAsia="en-US"/>
        </w:rPr>
        <w:t xml:space="preserve"> </w:t>
      </w:r>
      <w:r w:rsidR="00FB1C2B">
        <w:rPr>
          <w:rFonts w:eastAsia="Calibri"/>
          <w:sz w:val="24"/>
          <w:szCs w:val="24"/>
          <w:lang w:eastAsia="en-US"/>
        </w:rPr>
        <w:t>są</w:t>
      </w:r>
      <w:r w:rsidRPr="00B1608A">
        <w:rPr>
          <w:rFonts w:eastAsia="Calibri"/>
          <w:sz w:val="24"/>
          <w:szCs w:val="24"/>
          <w:lang w:eastAsia="en-US"/>
        </w:rPr>
        <w:t xml:space="preserve"> w wyrobiskach Głównej Kluczowej Sztolni Dziedzicznej i na całej długości Ch</w:t>
      </w:r>
      <w:r w:rsidR="00B1608A" w:rsidRPr="00B1608A">
        <w:rPr>
          <w:rFonts w:eastAsia="Calibri"/>
          <w:sz w:val="24"/>
          <w:szCs w:val="24"/>
          <w:lang w:eastAsia="en-US"/>
        </w:rPr>
        <w:t xml:space="preserve">odnika podstawowego w </w:t>
      </w:r>
      <w:proofErr w:type="spellStart"/>
      <w:r w:rsidR="00B1608A" w:rsidRPr="00B1608A">
        <w:rPr>
          <w:rFonts w:eastAsia="Calibri"/>
          <w:sz w:val="24"/>
          <w:szCs w:val="24"/>
          <w:lang w:eastAsia="en-US"/>
        </w:rPr>
        <w:t>pokł</w:t>
      </w:r>
      <w:proofErr w:type="spellEnd"/>
      <w:r w:rsidR="00B1608A" w:rsidRPr="00B1608A">
        <w:rPr>
          <w:rFonts w:eastAsia="Calibri"/>
          <w:sz w:val="24"/>
          <w:szCs w:val="24"/>
          <w:lang w:eastAsia="en-US"/>
        </w:rPr>
        <w:t>. 510</w:t>
      </w:r>
      <w:r w:rsidRPr="00B1608A">
        <w:rPr>
          <w:rFonts w:eastAsia="Calibri"/>
          <w:sz w:val="24"/>
          <w:szCs w:val="24"/>
          <w:lang w:eastAsia="en-US"/>
        </w:rPr>
        <w:t>. W przypadku zabudowy takiej sieci Wykonawca powinien spełnić warunki jej zabudowy zgodnie odstępstwem Prezesa Wyższego Urzędu Górniczego uzyskanym przez MGW.</w:t>
      </w:r>
    </w:p>
    <w:p w:rsidR="008B1704" w:rsidRPr="007D77B5" w:rsidRDefault="006549B7" w:rsidP="008B1704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lastRenderedPageBreak/>
        <w:t>Zamawiający zapewnia możliwość poboru wody z rur</w:t>
      </w:r>
      <w:r w:rsidR="008B1704" w:rsidRPr="007D77B5">
        <w:rPr>
          <w:rFonts w:eastAsia="Calibri"/>
          <w:sz w:val="24"/>
          <w:szCs w:val="24"/>
          <w:lang w:eastAsia="en-US"/>
        </w:rPr>
        <w:t xml:space="preserve">ociągu </w:t>
      </w:r>
      <w:proofErr w:type="spellStart"/>
      <w:r w:rsidR="008B1704" w:rsidRPr="007D77B5">
        <w:rPr>
          <w:rFonts w:eastAsia="Calibri"/>
          <w:sz w:val="24"/>
          <w:szCs w:val="24"/>
          <w:lang w:eastAsia="en-US"/>
        </w:rPr>
        <w:t>p.poż</w:t>
      </w:r>
      <w:proofErr w:type="spellEnd"/>
      <w:r w:rsidR="008B1704" w:rsidRPr="007D77B5">
        <w:rPr>
          <w:rFonts w:eastAsia="Calibri"/>
          <w:sz w:val="24"/>
          <w:szCs w:val="24"/>
          <w:lang w:eastAsia="en-US"/>
        </w:rPr>
        <w:t>. zlokalizowanego w</w:t>
      </w:r>
      <w:r w:rsidRPr="007D77B5">
        <w:rPr>
          <w:rFonts w:eastAsia="Calibri"/>
          <w:sz w:val="24"/>
          <w:szCs w:val="24"/>
          <w:lang w:eastAsia="en-US"/>
        </w:rPr>
        <w:t xml:space="preserve"> wyrobiskach Głównej Kluczowej Sztolni Dziedzicznej i na całej długości Chodnika podstawowego w pokł</w:t>
      </w:r>
      <w:r w:rsidR="00260E66" w:rsidRPr="007D77B5">
        <w:rPr>
          <w:rFonts w:eastAsia="Calibri"/>
          <w:sz w:val="24"/>
          <w:szCs w:val="24"/>
          <w:lang w:eastAsia="en-US"/>
        </w:rPr>
        <w:t>adzie</w:t>
      </w:r>
      <w:r w:rsidRPr="007D77B5">
        <w:rPr>
          <w:rFonts w:eastAsia="Calibri"/>
          <w:sz w:val="24"/>
          <w:szCs w:val="24"/>
          <w:lang w:eastAsia="en-US"/>
        </w:rPr>
        <w:t xml:space="preserve"> 510 „</w:t>
      </w:r>
      <w:proofErr w:type="spellStart"/>
      <w:r w:rsidRPr="007D77B5">
        <w:rPr>
          <w:rFonts w:eastAsia="Calibri"/>
          <w:sz w:val="24"/>
          <w:szCs w:val="24"/>
          <w:lang w:eastAsia="en-US"/>
        </w:rPr>
        <w:t>Pochhamer</w:t>
      </w:r>
      <w:proofErr w:type="spellEnd"/>
      <w:r w:rsidRPr="007D77B5">
        <w:rPr>
          <w:rFonts w:eastAsia="Calibri"/>
          <w:sz w:val="24"/>
          <w:szCs w:val="24"/>
          <w:lang w:eastAsia="en-US"/>
        </w:rPr>
        <w:t>”.</w:t>
      </w:r>
    </w:p>
    <w:p w:rsidR="009E2550" w:rsidRPr="007D77B5" w:rsidRDefault="009E2550" w:rsidP="008B1704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Po </w:t>
      </w:r>
      <w:r w:rsidR="008B1704" w:rsidRPr="007D77B5">
        <w:rPr>
          <w:rFonts w:eastAsia="Calibri"/>
          <w:sz w:val="24"/>
          <w:szCs w:val="24"/>
          <w:lang w:eastAsia="en-US"/>
        </w:rPr>
        <w:t>odwierceniu</w:t>
      </w:r>
      <w:r w:rsidRPr="007D77B5">
        <w:rPr>
          <w:rFonts w:eastAsia="Calibri"/>
          <w:sz w:val="24"/>
          <w:szCs w:val="24"/>
          <w:lang w:eastAsia="en-US"/>
        </w:rPr>
        <w:t xml:space="preserve"> otwor</w:t>
      </w:r>
      <w:r w:rsidR="008B1704" w:rsidRPr="007D77B5">
        <w:rPr>
          <w:rFonts w:eastAsia="Calibri"/>
          <w:sz w:val="24"/>
          <w:szCs w:val="24"/>
          <w:lang w:eastAsia="en-US"/>
        </w:rPr>
        <w:t>u</w:t>
      </w:r>
      <w:r w:rsidRPr="007D77B5">
        <w:rPr>
          <w:rFonts w:eastAsia="Calibri"/>
          <w:sz w:val="24"/>
          <w:szCs w:val="24"/>
          <w:lang w:eastAsia="en-US"/>
        </w:rPr>
        <w:t xml:space="preserve"> Wykonawca dostarczy Zamawiającemu „Kartę otworu” oraz wszelkie posiadane informacje techniczne dotyczące wiercenia jakie wymagane będą dla prowadzenia dalszych prac</w:t>
      </w:r>
      <w:r w:rsidR="008B1704" w:rsidRPr="007D77B5">
        <w:rPr>
          <w:rFonts w:eastAsia="Calibri"/>
          <w:sz w:val="24"/>
          <w:szCs w:val="24"/>
          <w:lang w:eastAsia="en-US"/>
        </w:rPr>
        <w:t>.</w:t>
      </w:r>
    </w:p>
    <w:p w:rsidR="00FA45C1" w:rsidRPr="007D77B5" w:rsidRDefault="006549B7" w:rsidP="008B1704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Wiercenie otworów rdzeniowych należy prowadzić w taki sposób i z zastosowaniem takiego sprzętu aby zapewnione było uzyskanie </w:t>
      </w:r>
      <w:r w:rsidR="008B1704" w:rsidRPr="007D77B5">
        <w:rPr>
          <w:rFonts w:eastAsia="Calibri"/>
          <w:sz w:val="24"/>
          <w:szCs w:val="24"/>
          <w:lang w:eastAsia="en-US"/>
        </w:rPr>
        <w:t xml:space="preserve">maksymalnej długości </w:t>
      </w:r>
      <w:r w:rsidRPr="007D77B5">
        <w:rPr>
          <w:rFonts w:eastAsia="Calibri"/>
          <w:sz w:val="24"/>
          <w:szCs w:val="24"/>
          <w:lang w:eastAsia="en-US"/>
        </w:rPr>
        <w:t>rdzenia</w:t>
      </w:r>
      <w:r w:rsidR="008B1704" w:rsidRPr="007D77B5">
        <w:rPr>
          <w:rFonts w:eastAsia="Calibri"/>
          <w:sz w:val="24"/>
          <w:szCs w:val="24"/>
          <w:lang w:eastAsia="en-US"/>
        </w:rPr>
        <w:t xml:space="preserve"> </w:t>
      </w:r>
      <w:r w:rsidRPr="007D77B5">
        <w:rPr>
          <w:rFonts w:eastAsia="Calibri"/>
          <w:sz w:val="24"/>
          <w:szCs w:val="24"/>
          <w:lang w:eastAsia="en-US"/>
        </w:rPr>
        <w:t>a przy skałach luźnych zapewniony ciągły pobór prób.</w:t>
      </w:r>
    </w:p>
    <w:p w:rsidR="006549B7" w:rsidRPr="007D77B5" w:rsidRDefault="006549B7" w:rsidP="008B1704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Wykonawca zobowiązany jest na bieżąco sprawować nadzór </w:t>
      </w:r>
      <w:r w:rsidR="008B1704" w:rsidRPr="007D77B5">
        <w:rPr>
          <w:rFonts w:eastAsia="Calibri"/>
          <w:sz w:val="24"/>
          <w:szCs w:val="24"/>
          <w:lang w:eastAsia="en-US"/>
        </w:rPr>
        <w:t>mierniczo</w:t>
      </w:r>
      <w:r w:rsidR="009E2550" w:rsidRPr="007D77B5">
        <w:rPr>
          <w:rFonts w:eastAsia="Calibri"/>
          <w:sz w:val="24"/>
          <w:szCs w:val="24"/>
          <w:lang w:eastAsia="en-US"/>
        </w:rPr>
        <w:t>-</w:t>
      </w:r>
      <w:r w:rsidR="00C1651F" w:rsidRPr="007D77B5">
        <w:rPr>
          <w:rFonts w:eastAsia="Calibri"/>
          <w:sz w:val="24"/>
          <w:szCs w:val="24"/>
          <w:lang w:eastAsia="en-US"/>
        </w:rPr>
        <w:t xml:space="preserve">geologiczny </w:t>
      </w:r>
      <w:r w:rsidRPr="007D77B5">
        <w:rPr>
          <w:rFonts w:eastAsia="Calibri"/>
          <w:sz w:val="24"/>
          <w:szCs w:val="24"/>
          <w:lang w:eastAsia="en-US"/>
        </w:rPr>
        <w:t xml:space="preserve">nad wykonywaniem wierceń i w ramach nadzoru w szczególności zapewnić: </w:t>
      </w:r>
    </w:p>
    <w:p w:rsidR="00FA45C1" w:rsidRPr="007D77B5" w:rsidRDefault="006549B7" w:rsidP="00FA45C1">
      <w:pPr>
        <w:pStyle w:val="Akapitzlist"/>
        <w:numPr>
          <w:ilvl w:val="0"/>
          <w:numId w:val="18"/>
        </w:numPr>
        <w:spacing w:before="120"/>
        <w:ind w:left="993" w:hanging="426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kontrolę </w:t>
      </w:r>
      <w:r w:rsidR="00FA45C1" w:rsidRPr="007D77B5">
        <w:rPr>
          <w:rFonts w:eastAsia="Calibri"/>
          <w:sz w:val="24"/>
          <w:szCs w:val="24"/>
          <w:lang w:eastAsia="en-US"/>
        </w:rPr>
        <w:t>prawidłowości wiercenia otworów,</w:t>
      </w:r>
    </w:p>
    <w:p w:rsidR="00FA45C1" w:rsidRPr="007D77B5" w:rsidRDefault="006549B7" w:rsidP="00FA45C1">
      <w:pPr>
        <w:pStyle w:val="Akapitzlist"/>
        <w:numPr>
          <w:ilvl w:val="0"/>
          <w:numId w:val="18"/>
        </w:numPr>
        <w:spacing w:before="120"/>
        <w:ind w:left="993" w:hanging="426"/>
        <w:jc w:val="both"/>
        <w:rPr>
          <w:rFonts w:eastAsia="Calibri"/>
          <w:strike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profilowanie przewiercanych warstw</w:t>
      </w:r>
      <w:r w:rsidR="00996AC2" w:rsidRPr="007D77B5">
        <w:rPr>
          <w:rFonts w:eastAsia="Calibri"/>
          <w:sz w:val="24"/>
          <w:szCs w:val="24"/>
          <w:lang w:eastAsia="en-US"/>
        </w:rPr>
        <w:t>,</w:t>
      </w:r>
    </w:p>
    <w:p w:rsidR="00FA45C1" w:rsidRPr="007D77B5" w:rsidRDefault="006549B7" w:rsidP="00FA45C1">
      <w:pPr>
        <w:pStyle w:val="Akapitzlist"/>
        <w:numPr>
          <w:ilvl w:val="0"/>
          <w:numId w:val="18"/>
        </w:numPr>
        <w:spacing w:before="120"/>
        <w:ind w:left="993" w:hanging="426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prawidłowe zabezpieczenie i likwidację otworów po zakończeniu realizacji projektu. Sposób likwidacji otworów powinien być ujęty w</w:t>
      </w:r>
      <w:r w:rsidR="009E2550" w:rsidRPr="007D77B5">
        <w:rPr>
          <w:rFonts w:eastAsia="Calibri"/>
          <w:sz w:val="24"/>
          <w:szCs w:val="24"/>
          <w:lang w:eastAsia="en-US"/>
        </w:rPr>
        <w:t xml:space="preserve"> „Projekcie robót wiertniczych”,</w:t>
      </w:r>
    </w:p>
    <w:p w:rsidR="00FA45C1" w:rsidRPr="007D77B5" w:rsidRDefault="006549B7" w:rsidP="00FA45C1">
      <w:pPr>
        <w:pStyle w:val="Akapitzlist"/>
        <w:numPr>
          <w:ilvl w:val="0"/>
          <w:numId w:val="18"/>
        </w:numPr>
        <w:spacing w:before="120"/>
        <w:ind w:left="993" w:hanging="426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sz w:val="24"/>
          <w:szCs w:val="24"/>
        </w:rPr>
        <w:t>wykonanie pisemnego raportu z przebiegu wierceń zawierającego wszystkie istotne informacje p</w:t>
      </w:r>
      <w:r w:rsidR="00C1651F">
        <w:rPr>
          <w:sz w:val="24"/>
          <w:szCs w:val="24"/>
        </w:rPr>
        <w:t>ozyskane w trakcie wiercenia,</w:t>
      </w:r>
    </w:p>
    <w:p w:rsidR="009E2550" w:rsidRPr="007D77B5" w:rsidRDefault="006549B7" w:rsidP="00FA45C1">
      <w:pPr>
        <w:pStyle w:val="Akapitzlist"/>
        <w:numPr>
          <w:ilvl w:val="0"/>
          <w:numId w:val="18"/>
        </w:numPr>
        <w:spacing w:before="120"/>
        <w:ind w:left="993" w:hanging="426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wykonanie „Dokumentacji powykonawczej” z przeprowadzonych robót wiertniczych zawierającej wszystkie istotne informa</w:t>
      </w:r>
      <w:r w:rsidR="00996AC2" w:rsidRPr="007D77B5">
        <w:rPr>
          <w:rFonts w:eastAsia="Calibri"/>
          <w:sz w:val="24"/>
          <w:szCs w:val="24"/>
          <w:lang w:eastAsia="en-US"/>
        </w:rPr>
        <w:t>cje pozyskane w trakcie wierceń</w:t>
      </w:r>
      <w:r w:rsidRPr="007D77B5">
        <w:rPr>
          <w:rFonts w:eastAsia="Calibri"/>
          <w:sz w:val="24"/>
          <w:szCs w:val="24"/>
          <w:lang w:eastAsia="en-US"/>
        </w:rPr>
        <w:t xml:space="preserve"> wraz z p</w:t>
      </w:r>
      <w:r w:rsidR="00C1651F">
        <w:rPr>
          <w:rFonts w:eastAsia="Calibri"/>
          <w:sz w:val="24"/>
          <w:szCs w:val="24"/>
          <w:lang w:eastAsia="en-US"/>
        </w:rPr>
        <w:t>rofilami otworów wiertniczych,</w:t>
      </w:r>
    </w:p>
    <w:p w:rsidR="006549B7" w:rsidRDefault="006439BA" w:rsidP="00FA45C1">
      <w:pPr>
        <w:pStyle w:val="Akapitzlist"/>
        <w:numPr>
          <w:ilvl w:val="0"/>
          <w:numId w:val="18"/>
        </w:numPr>
        <w:spacing w:before="120"/>
        <w:ind w:left="993" w:hanging="426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W</w:t>
      </w:r>
      <w:r w:rsidR="009E2550" w:rsidRPr="007D77B5">
        <w:rPr>
          <w:rFonts w:eastAsia="Calibri"/>
          <w:sz w:val="24"/>
          <w:szCs w:val="24"/>
          <w:lang w:eastAsia="en-US"/>
        </w:rPr>
        <w:t>yczyszczenie</w:t>
      </w:r>
      <w:r w:rsidRPr="007D77B5">
        <w:rPr>
          <w:rFonts w:eastAsia="Calibri"/>
          <w:sz w:val="24"/>
          <w:szCs w:val="24"/>
          <w:lang w:eastAsia="en-US"/>
        </w:rPr>
        <w:t xml:space="preserve"> wszystkich miejsc w których prowadzone będą roboty </w:t>
      </w:r>
      <w:r w:rsidR="009E2550" w:rsidRPr="007D77B5">
        <w:rPr>
          <w:rFonts w:eastAsia="Calibri"/>
          <w:sz w:val="24"/>
          <w:szCs w:val="24"/>
          <w:lang w:eastAsia="en-US"/>
        </w:rPr>
        <w:t>(ze ściekiem włącznie) ze zwiercin i pozostałoś</w:t>
      </w:r>
      <w:r w:rsidR="00996AC2" w:rsidRPr="007D77B5">
        <w:rPr>
          <w:rFonts w:eastAsia="Calibri"/>
          <w:sz w:val="24"/>
          <w:szCs w:val="24"/>
          <w:lang w:eastAsia="en-US"/>
        </w:rPr>
        <w:t xml:space="preserve">ci po płuczce, doprowadzenie </w:t>
      </w:r>
      <w:r w:rsidRPr="007D77B5">
        <w:rPr>
          <w:rFonts w:eastAsia="Calibri"/>
          <w:sz w:val="24"/>
          <w:szCs w:val="24"/>
          <w:lang w:eastAsia="en-US"/>
        </w:rPr>
        <w:t>ich</w:t>
      </w:r>
      <w:r w:rsidR="00996AC2" w:rsidRPr="007D77B5">
        <w:rPr>
          <w:rFonts w:eastAsia="Calibri"/>
          <w:sz w:val="24"/>
          <w:szCs w:val="24"/>
          <w:lang w:eastAsia="en-US"/>
        </w:rPr>
        <w:t xml:space="preserve"> do stanu sprzed </w:t>
      </w:r>
      <w:r w:rsidR="009E2550" w:rsidRPr="007D77B5">
        <w:rPr>
          <w:rFonts w:eastAsia="Calibri"/>
          <w:sz w:val="24"/>
          <w:szCs w:val="24"/>
          <w:lang w:eastAsia="en-US"/>
        </w:rPr>
        <w:t>przystąpienia do robót</w:t>
      </w:r>
      <w:r w:rsidR="00996AC2" w:rsidRPr="007D77B5">
        <w:rPr>
          <w:rFonts w:eastAsia="Calibri"/>
          <w:sz w:val="24"/>
          <w:szCs w:val="24"/>
          <w:lang w:eastAsia="en-US"/>
        </w:rPr>
        <w:t>. W</w:t>
      </w:r>
      <w:r w:rsidRPr="007D77B5">
        <w:rPr>
          <w:rFonts w:eastAsia="Calibri"/>
          <w:sz w:val="24"/>
          <w:szCs w:val="24"/>
          <w:lang w:eastAsia="en-US"/>
        </w:rPr>
        <w:t xml:space="preserve"> </w:t>
      </w:r>
      <w:r w:rsidR="00996AC2" w:rsidRPr="007D77B5">
        <w:rPr>
          <w:rFonts w:eastAsia="Calibri"/>
          <w:sz w:val="24"/>
          <w:szCs w:val="24"/>
          <w:lang w:eastAsia="en-US"/>
        </w:rPr>
        <w:t>P</w:t>
      </w:r>
      <w:r w:rsidRPr="007D77B5">
        <w:rPr>
          <w:rFonts w:eastAsia="Calibri"/>
          <w:sz w:val="24"/>
          <w:szCs w:val="24"/>
          <w:lang w:eastAsia="en-US"/>
        </w:rPr>
        <w:t>ochylni do poz. 80m</w:t>
      </w:r>
      <w:r w:rsidR="00996AC2" w:rsidRPr="007D77B5">
        <w:rPr>
          <w:rFonts w:eastAsia="Calibri"/>
          <w:sz w:val="24"/>
          <w:szCs w:val="24"/>
          <w:lang w:eastAsia="en-US"/>
        </w:rPr>
        <w:t xml:space="preserve"> w pokładzie 510</w:t>
      </w:r>
      <w:r w:rsidRPr="007D77B5">
        <w:rPr>
          <w:rFonts w:eastAsia="Calibri"/>
          <w:sz w:val="24"/>
          <w:szCs w:val="24"/>
          <w:lang w:eastAsia="en-US"/>
        </w:rPr>
        <w:t xml:space="preserve"> istnieje możliwość zrzutu płuczki na spąg</w:t>
      </w:r>
      <w:r w:rsidR="00996AC2" w:rsidRPr="007D77B5">
        <w:rPr>
          <w:rFonts w:eastAsia="Calibri"/>
          <w:sz w:val="24"/>
          <w:szCs w:val="24"/>
          <w:lang w:eastAsia="en-US"/>
        </w:rPr>
        <w:t xml:space="preserve"> i pozostawienie zwiercin</w:t>
      </w:r>
      <w:r w:rsidRPr="007D77B5">
        <w:rPr>
          <w:rFonts w:eastAsia="Calibri"/>
          <w:sz w:val="24"/>
          <w:szCs w:val="24"/>
          <w:lang w:eastAsia="en-US"/>
        </w:rPr>
        <w:t>.</w:t>
      </w:r>
    </w:p>
    <w:p w:rsidR="002D3336" w:rsidRPr="00D11F5F" w:rsidRDefault="002D3336" w:rsidP="002D3336">
      <w:pPr>
        <w:spacing w:before="120"/>
        <w:ind w:left="709" w:hanging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3.10  </w:t>
      </w:r>
      <w:r w:rsidR="00514391" w:rsidRPr="00D11F5F">
        <w:rPr>
          <w:rFonts w:eastAsia="Calibri"/>
          <w:lang w:eastAsia="en-US"/>
        </w:rPr>
        <w:t>Wykonawca zobowiązany jest na etapie realizacji umowy zapewnić następujące osoby</w:t>
      </w:r>
      <w:r w:rsidRPr="00D11F5F">
        <w:rPr>
          <w:rFonts w:eastAsia="Calibri"/>
          <w:lang w:eastAsia="en-US"/>
        </w:rPr>
        <w:t xml:space="preserve"> </w:t>
      </w:r>
      <w:r w:rsidR="00514391" w:rsidRPr="00D11F5F">
        <w:rPr>
          <w:rFonts w:eastAsia="Calibri"/>
          <w:lang w:eastAsia="en-US"/>
        </w:rPr>
        <w:t>niezbędne do prawidłowej realizacji przedmiotu zamówienia:</w:t>
      </w:r>
    </w:p>
    <w:p w:rsidR="002D3336" w:rsidRPr="00D11F5F" w:rsidRDefault="00D11F5F" w:rsidP="00D11F5F">
      <w:pPr>
        <w:spacing w:before="120"/>
        <w:ind w:left="709" w:hanging="349"/>
        <w:jc w:val="both"/>
        <w:rPr>
          <w:rFonts w:eastAsia="Calibri"/>
          <w:lang w:eastAsia="en-US"/>
        </w:rPr>
      </w:pPr>
      <w:r>
        <w:t>1)</w:t>
      </w:r>
      <w:r>
        <w:tab/>
      </w:r>
      <w:r w:rsidR="002D3336" w:rsidRPr="00D11F5F">
        <w:t>Osoba dozoru ruchu o specjalności górniczej w p</w:t>
      </w:r>
      <w:r>
        <w:t>odziemnych zakładach górniczych</w:t>
      </w:r>
      <w:r w:rsidR="002D3336" w:rsidRPr="00D11F5F">
        <w:t xml:space="preserve"> minimum 1 osoba,</w:t>
      </w:r>
    </w:p>
    <w:p w:rsidR="002D3336" w:rsidRPr="00D11F5F" w:rsidRDefault="00D11F5F" w:rsidP="00D11F5F">
      <w:pPr>
        <w:spacing w:before="120"/>
        <w:ind w:left="709" w:hanging="349"/>
        <w:jc w:val="both"/>
        <w:rPr>
          <w:rFonts w:eastAsia="Calibri"/>
          <w:lang w:eastAsia="en-US"/>
        </w:rPr>
      </w:pPr>
      <w:r>
        <w:t>2)</w:t>
      </w:r>
      <w:r>
        <w:tab/>
      </w:r>
      <w:r w:rsidR="002D3336" w:rsidRPr="00D11F5F">
        <w:t>Osoba wyższego dozoru ruchu w specjalności górniczej – minimum 1 osoba,</w:t>
      </w:r>
    </w:p>
    <w:p w:rsidR="002D3336" w:rsidRPr="00D11F5F" w:rsidRDefault="00D11F5F" w:rsidP="00D11F5F">
      <w:pPr>
        <w:spacing w:before="120"/>
        <w:ind w:left="709" w:hanging="349"/>
        <w:jc w:val="both"/>
        <w:rPr>
          <w:rFonts w:eastAsia="Calibri"/>
          <w:lang w:eastAsia="en-US"/>
        </w:rPr>
      </w:pPr>
      <w:r>
        <w:t>3)</w:t>
      </w:r>
      <w:r>
        <w:tab/>
      </w:r>
      <w:r w:rsidR="002D3336" w:rsidRPr="00D11F5F">
        <w:t>Osoba dozoru wyższego w podziemnych zakładach górniczych, posiadająca kwalifikacje w zakresie bezpieczeństwa i higieny pracy w podziemnych zakładach górniczych</w:t>
      </w:r>
    </w:p>
    <w:p w:rsidR="001A2DC1" w:rsidRPr="00D11F5F" w:rsidRDefault="00D11F5F" w:rsidP="00D11F5F">
      <w:pPr>
        <w:pStyle w:val="Akapitzlist"/>
        <w:spacing w:before="120"/>
        <w:ind w:left="709" w:hanging="34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</w:r>
      <w:r w:rsidR="002D3336" w:rsidRPr="00D11F5F">
        <w:rPr>
          <w:sz w:val="24"/>
          <w:szCs w:val="24"/>
        </w:rPr>
        <w:t>Osoba z uprawnieniami mierniczego górniczego</w:t>
      </w:r>
      <w:r w:rsidR="001A2DC1" w:rsidRPr="00D11F5F">
        <w:rPr>
          <w:sz w:val="24"/>
          <w:szCs w:val="24"/>
        </w:rPr>
        <w:t xml:space="preserve"> w podziemnych zakładach górniczych.</w:t>
      </w:r>
    </w:p>
    <w:p w:rsidR="002D3336" w:rsidRPr="00D11F5F" w:rsidRDefault="00D11F5F" w:rsidP="00D11F5F">
      <w:pPr>
        <w:pStyle w:val="Akapitzlist"/>
        <w:spacing w:before="120"/>
        <w:ind w:left="709" w:hanging="34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</w:r>
      <w:r w:rsidR="001A2DC1" w:rsidRPr="00D11F5F">
        <w:rPr>
          <w:sz w:val="24"/>
          <w:szCs w:val="24"/>
        </w:rPr>
        <w:t>Osoba z uprawnieniami</w:t>
      </w:r>
      <w:r w:rsidR="002D3336" w:rsidRPr="00D11F5F">
        <w:rPr>
          <w:sz w:val="24"/>
          <w:szCs w:val="24"/>
        </w:rPr>
        <w:t xml:space="preserve"> geologa gór</w:t>
      </w:r>
      <w:r w:rsidR="001A2DC1" w:rsidRPr="00D11F5F">
        <w:rPr>
          <w:sz w:val="24"/>
          <w:szCs w:val="24"/>
        </w:rPr>
        <w:t>niczego w podziemnych zakładach górniczych.</w:t>
      </w:r>
    </w:p>
    <w:p w:rsidR="002D3336" w:rsidRPr="00D11F5F" w:rsidRDefault="00D11F5F" w:rsidP="00D11F5F">
      <w:pPr>
        <w:pStyle w:val="Akapitzlist"/>
        <w:spacing w:before="120"/>
        <w:ind w:left="709" w:hanging="34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>6)</w:t>
      </w:r>
      <w:r>
        <w:rPr>
          <w:sz w:val="24"/>
          <w:szCs w:val="24"/>
        </w:rPr>
        <w:tab/>
      </w:r>
      <w:r w:rsidR="002D3336" w:rsidRPr="00D11F5F">
        <w:rPr>
          <w:sz w:val="24"/>
          <w:szCs w:val="24"/>
        </w:rPr>
        <w:t>kierownik działu górniczego.</w:t>
      </w:r>
    </w:p>
    <w:p w:rsidR="00514391" w:rsidRPr="00D11F5F" w:rsidRDefault="002D3336" w:rsidP="002D3336">
      <w:pPr>
        <w:spacing w:before="120"/>
        <w:ind w:left="426"/>
        <w:jc w:val="both"/>
        <w:rPr>
          <w:lang w:eastAsia="ar-SA"/>
        </w:rPr>
      </w:pPr>
      <w:r w:rsidRPr="00D11F5F">
        <w:rPr>
          <w:lang w:eastAsia="ar-SA"/>
        </w:rPr>
        <w:t>Zamawiający dopuszcza łączenie funkcji w przypadku posiadania więcej niż jednego z ww. uprawnień przez jedną osobę</w:t>
      </w:r>
    </w:p>
    <w:p w:rsidR="002D3336" w:rsidRPr="002D3336" w:rsidRDefault="002D3336" w:rsidP="002D3336">
      <w:pPr>
        <w:spacing w:before="120"/>
        <w:ind w:left="426"/>
        <w:jc w:val="both"/>
        <w:rPr>
          <w:rFonts w:eastAsia="Calibri"/>
          <w:sz w:val="22"/>
          <w:szCs w:val="22"/>
          <w:lang w:eastAsia="en-US"/>
        </w:rPr>
      </w:pPr>
    </w:p>
    <w:p w:rsidR="00996AC2" w:rsidRPr="007D77B5" w:rsidRDefault="006549B7" w:rsidP="00996AC2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b/>
          <w:bCs/>
          <w:sz w:val="28"/>
          <w:szCs w:val="24"/>
        </w:rPr>
      </w:pPr>
      <w:r w:rsidRPr="002D3336">
        <w:rPr>
          <w:b/>
          <w:bCs/>
          <w:sz w:val="28"/>
          <w:szCs w:val="24"/>
        </w:rPr>
        <w:lastRenderedPageBreak/>
        <w:t>Dodatkowe uwarunkowania</w:t>
      </w:r>
      <w:r w:rsidRPr="007D77B5">
        <w:rPr>
          <w:b/>
          <w:bCs/>
          <w:sz w:val="28"/>
          <w:szCs w:val="24"/>
        </w:rPr>
        <w:t xml:space="preserve"> </w:t>
      </w:r>
      <w:r w:rsidR="00996AC2" w:rsidRPr="007D77B5">
        <w:rPr>
          <w:b/>
          <w:bCs/>
          <w:sz w:val="28"/>
          <w:szCs w:val="24"/>
        </w:rPr>
        <w:t>realizacji przedmiotu zamówienia.</w:t>
      </w:r>
    </w:p>
    <w:p w:rsidR="006549B7" w:rsidRPr="007D77B5" w:rsidRDefault="006549B7" w:rsidP="00996AC2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/>
          <w:bCs/>
          <w:sz w:val="28"/>
          <w:szCs w:val="24"/>
        </w:rPr>
      </w:pPr>
      <w:r w:rsidRPr="007D77B5">
        <w:rPr>
          <w:rFonts w:eastAsia="Calibri"/>
          <w:sz w:val="24"/>
          <w:szCs w:val="24"/>
          <w:lang w:eastAsia="en-US"/>
        </w:rPr>
        <w:t>Zamawiający informuje</w:t>
      </w:r>
      <w:r w:rsidR="00C1651F">
        <w:rPr>
          <w:rFonts w:eastAsia="Calibri"/>
          <w:sz w:val="24"/>
          <w:szCs w:val="24"/>
          <w:lang w:eastAsia="en-US"/>
        </w:rPr>
        <w:t>,</w:t>
      </w:r>
      <w:r w:rsidRPr="007D77B5">
        <w:rPr>
          <w:rFonts w:eastAsia="Calibri"/>
          <w:sz w:val="24"/>
          <w:szCs w:val="24"/>
          <w:lang w:eastAsia="en-US"/>
        </w:rPr>
        <w:t xml:space="preserve"> iż wyrobiska Głównej Kluczowej Sztolni Dziedzicznej i</w:t>
      </w:r>
      <w:r w:rsidR="006439BA" w:rsidRPr="007D77B5">
        <w:rPr>
          <w:rFonts w:eastAsia="Calibri"/>
          <w:sz w:val="24"/>
          <w:szCs w:val="24"/>
          <w:lang w:eastAsia="en-US"/>
        </w:rPr>
        <w:t xml:space="preserve"> </w:t>
      </w:r>
      <w:r w:rsidRPr="007D77B5">
        <w:rPr>
          <w:rFonts w:eastAsia="Calibri"/>
          <w:sz w:val="24"/>
          <w:szCs w:val="24"/>
          <w:lang w:eastAsia="en-US"/>
        </w:rPr>
        <w:t>w</w:t>
      </w:r>
      <w:r w:rsidR="005D4E5D" w:rsidRPr="007D77B5">
        <w:rPr>
          <w:rFonts w:eastAsia="Calibri"/>
          <w:sz w:val="24"/>
          <w:szCs w:val="24"/>
          <w:lang w:eastAsia="en-US"/>
        </w:rPr>
        <w:t> </w:t>
      </w:r>
      <w:r w:rsidRPr="007D77B5">
        <w:rPr>
          <w:rFonts w:eastAsia="Calibri"/>
          <w:sz w:val="24"/>
          <w:szCs w:val="24"/>
          <w:lang w:eastAsia="en-US"/>
        </w:rPr>
        <w:t>pokładzie 510 są częścią Zabytkowej Kopalni Węgla Kamiennego „Guido” i</w:t>
      </w:r>
      <w:r w:rsidR="005D4E5D" w:rsidRPr="007D77B5">
        <w:rPr>
          <w:rFonts w:eastAsia="Calibri"/>
          <w:sz w:val="24"/>
          <w:szCs w:val="24"/>
          <w:lang w:eastAsia="en-US"/>
        </w:rPr>
        <w:t> </w:t>
      </w:r>
      <w:r w:rsidRPr="007D77B5">
        <w:rPr>
          <w:rFonts w:eastAsia="Calibri"/>
          <w:sz w:val="24"/>
          <w:szCs w:val="24"/>
          <w:lang w:eastAsia="en-US"/>
        </w:rPr>
        <w:t xml:space="preserve">wszelkie prace wykonywane w wyrobisku podlegają przepisom </w:t>
      </w:r>
      <w:r w:rsidRPr="007D77B5">
        <w:rPr>
          <w:rFonts w:eastAsia="Calibri"/>
          <w:i/>
          <w:sz w:val="24"/>
          <w:szCs w:val="24"/>
          <w:lang w:eastAsia="en-US"/>
        </w:rPr>
        <w:t>Prawa geologicznego i górniczego</w:t>
      </w:r>
      <w:r w:rsidRPr="007D77B5">
        <w:rPr>
          <w:rFonts w:eastAsia="Calibri"/>
          <w:sz w:val="24"/>
          <w:szCs w:val="24"/>
          <w:lang w:eastAsia="en-US"/>
        </w:rPr>
        <w:t xml:space="preserve"> (Ustawa z dnia 9 czerwca 2011 r., </w:t>
      </w:r>
      <w:proofErr w:type="spellStart"/>
      <w:r w:rsidRPr="007D77B5">
        <w:rPr>
          <w:rFonts w:eastAsia="Calibri"/>
          <w:sz w:val="24"/>
          <w:szCs w:val="24"/>
          <w:lang w:eastAsia="en-US"/>
        </w:rPr>
        <w:t>Dz.U</w:t>
      </w:r>
      <w:proofErr w:type="spellEnd"/>
      <w:r w:rsidRPr="007D77B5">
        <w:rPr>
          <w:rFonts w:eastAsia="Calibri"/>
          <w:sz w:val="24"/>
          <w:szCs w:val="24"/>
          <w:lang w:eastAsia="en-US"/>
        </w:rPr>
        <w:t xml:space="preserve">. Nr 163, poz. 981 wraz z </w:t>
      </w:r>
      <w:proofErr w:type="spellStart"/>
      <w:r w:rsidRPr="007D77B5">
        <w:rPr>
          <w:rFonts w:eastAsia="Calibri"/>
          <w:sz w:val="24"/>
          <w:szCs w:val="24"/>
          <w:lang w:eastAsia="en-US"/>
        </w:rPr>
        <w:t>poźn</w:t>
      </w:r>
      <w:proofErr w:type="spellEnd"/>
      <w:r w:rsidRPr="007D77B5">
        <w:rPr>
          <w:rFonts w:eastAsia="Calibri"/>
          <w:sz w:val="24"/>
          <w:szCs w:val="24"/>
          <w:lang w:eastAsia="en-US"/>
        </w:rPr>
        <w:t>. zmianami).</w:t>
      </w:r>
    </w:p>
    <w:p w:rsidR="006549B7" w:rsidRPr="007D77B5" w:rsidRDefault="006549B7" w:rsidP="00996AC2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Główna Kluczowa Sz</w:t>
      </w:r>
      <w:r w:rsidR="00C1651F">
        <w:rPr>
          <w:rFonts w:eastAsia="Calibri"/>
          <w:sz w:val="24"/>
          <w:szCs w:val="24"/>
          <w:lang w:eastAsia="en-US"/>
        </w:rPr>
        <w:t>tolnia Dziedziczna jak również C</w:t>
      </w:r>
      <w:r w:rsidRPr="007D77B5">
        <w:rPr>
          <w:rFonts w:eastAsia="Calibri"/>
          <w:sz w:val="24"/>
          <w:szCs w:val="24"/>
          <w:lang w:eastAsia="en-US"/>
        </w:rPr>
        <w:t xml:space="preserve">hodnik </w:t>
      </w:r>
      <w:r w:rsidR="00C1651F">
        <w:rPr>
          <w:rFonts w:eastAsia="Calibri"/>
          <w:sz w:val="24"/>
          <w:szCs w:val="24"/>
          <w:lang w:eastAsia="en-US"/>
        </w:rPr>
        <w:t xml:space="preserve">podstawowy </w:t>
      </w:r>
      <w:r w:rsidRPr="007D77B5">
        <w:rPr>
          <w:rFonts w:eastAsia="Calibri"/>
          <w:sz w:val="24"/>
          <w:szCs w:val="24"/>
          <w:lang w:eastAsia="en-US"/>
        </w:rPr>
        <w:t>w pokładzie 510 są wyrobiskami wpisanymi do rejestru zabytków, w związku z czym prace należy wykonywać zgodnie z zaleceniami konserwatorskimi.</w:t>
      </w:r>
    </w:p>
    <w:p w:rsidR="009E2550" w:rsidRPr="007D77B5" w:rsidRDefault="009E2550" w:rsidP="00996AC2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Część pokładu 510, w którym zlokalizowany jest Chodnik podsta</w:t>
      </w:r>
      <w:r w:rsidR="006439BA" w:rsidRPr="007D77B5">
        <w:rPr>
          <w:rFonts w:eastAsia="Calibri"/>
          <w:sz w:val="24"/>
          <w:szCs w:val="24"/>
          <w:lang w:eastAsia="en-US"/>
        </w:rPr>
        <w:t>wowy i Pochylnia do poziomu 80m oraz Główna Kluczowa Sztolnia Dziedziczna  z</w:t>
      </w:r>
      <w:r w:rsidRPr="007D77B5">
        <w:rPr>
          <w:rFonts w:eastAsia="Calibri"/>
          <w:sz w:val="24"/>
          <w:szCs w:val="24"/>
          <w:lang w:eastAsia="en-US"/>
        </w:rPr>
        <w:t>aliczona jest do II stopnia zagrożenia wodnego. Wyrobiska zalegają na głębokości ok. 40m od powierzchni terenu. Realnie zagrożenie takie nie występuje, gdyż górotwór praktycznie nie spełnia kryteriów (</w:t>
      </w:r>
      <w:proofErr w:type="spellStart"/>
      <w:r w:rsidRPr="007D77B5">
        <w:rPr>
          <w:rFonts w:eastAsia="Calibri"/>
          <w:sz w:val="24"/>
          <w:szCs w:val="24"/>
          <w:lang w:eastAsia="en-US"/>
        </w:rPr>
        <w:t>Rozp</w:t>
      </w:r>
      <w:proofErr w:type="spellEnd"/>
      <w:r w:rsidRPr="007D77B5">
        <w:rPr>
          <w:rFonts w:eastAsia="Calibri"/>
          <w:sz w:val="24"/>
          <w:szCs w:val="24"/>
          <w:lang w:eastAsia="en-US"/>
        </w:rPr>
        <w:t xml:space="preserve">. Min. Środowiska z 20 czerwca 2017r., </w:t>
      </w:r>
      <w:proofErr w:type="spellStart"/>
      <w:r w:rsidRPr="007D77B5">
        <w:rPr>
          <w:rFonts w:eastAsia="Calibri"/>
          <w:sz w:val="24"/>
          <w:szCs w:val="24"/>
          <w:lang w:eastAsia="en-US"/>
        </w:rPr>
        <w:t>Dz.U</w:t>
      </w:r>
      <w:proofErr w:type="spellEnd"/>
      <w:r w:rsidRPr="007D77B5">
        <w:rPr>
          <w:rFonts w:eastAsia="Calibri"/>
          <w:sz w:val="24"/>
          <w:szCs w:val="24"/>
          <w:lang w:eastAsia="en-US"/>
        </w:rPr>
        <w:t>. z 27 czerwca 2017r., poz. 1247) dla tego stopnia zagrożenia wodnego. Występują nieliczne wykroplenia wody i drobne wycieki, które są efektem infiltracji opadów atmosferycznyc</w:t>
      </w:r>
      <w:r w:rsidR="00996AC2" w:rsidRPr="007D77B5">
        <w:rPr>
          <w:rFonts w:eastAsia="Calibri"/>
          <w:sz w:val="24"/>
          <w:szCs w:val="24"/>
          <w:lang w:eastAsia="en-US"/>
        </w:rPr>
        <w:t xml:space="preserve">h na powierzchni. </w:t>
      </w:r>
      <w:r w:rsidRPr="007D77B5">
        <w:rPr>
          <w:rFonts w:eastAsia="Calibri"/>
          <w:sz w:val="24"/>
          <w:szCs w:val="24"/>
          <w:lang w:eastAsia="en-US"/>
        </w:rPr>
        <w:t>W utworach czwartorzędu zwierciadło wody występuje tylko lokalnie w formie zawieszonej na wkładkach glin. Zarówno piętro czwartorzędowe jak i karbońskie jest zdrenowane przez wyrobiska górnicze. Nie należy spodziewać się nawiercenia wars</w:t>
      </w:r>
      <w:r w:rsidR="00996AC2" w:rsidRPr="007D77B5">
        <w:rPr>
          <w:rFonts w:eastAsia="Calibri"/>
          <w:sz w:val="24"/>
          <w:szCs w:val="24"/>
          <w:lang w:eastAsia="en-US"/>
        </w:rPr>
        <w:t>tw wodonośnych o podwyższonym</w:t>
      </w:r>
      <w:r w:rsidRPr="007D77B5">
        <w:rPr>
          <w:rFonts w:eastAsia="Calibri"/>
          <w:sz w:val="24"/>
          <w:szCs w:val="24"/>
          <w:lang w:eastAsia="en-US"/>
        </w:rPr>
        <w:t xml:space="preserve"> ciśnieniu wody.</w:t>
      </w:r>
    </w:p>
    <w:p w:rsidR="009E2550" w:rsidRPr="007D77B5" w:rsidRDefault="009E2550" w:rsidP="00FA45C1">
      <w:pPr>
        <w:pStyle w:val="Akapitzlist"/>
        <w:spacing w:before="120"/>
        <w:ind w:left="567" w:hanging="567"/>
        <w:jc w:val="both"/>
        <w:rPr>
          <w:bCs/>
          <w:sz w:val="24"/>
          <w:szCs w:val="24"/>
          <w:u w:val="single"/>
        </w:rPr>
      </w:pPr>
    </w:p>
    <w:p w:rsidR="00996AC2" w:rsidRPr="007D77B5" w:rsidRDefault="006549B7" w:rsidP="00996AC2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b/>
          <w:bCs/>
          <w:sz w:val="28"/>
          <w:szCs w:val="24"/>
        </w:rPr>
      </w:pPr>
      <w:r w:rsidRPr="007D77B5">
        <w:rPr>
          <w:b/>
          <w:bCs/>
          <w:sz w:val="28"/>
          <w:szCs w:val="24"/>
        </w:rPr>
        <w:t>Wykonawca zobowiązany jest uwzgl</w:t>
      </w:r>
      <w:r w:rsidR="00996AC2" w:rsidRPr="007D77B5">
        <w:rPr>
          <w:b/>
          <w:bCs/>
          <w:sz w:val="28"/>
          <w:szCs w:val="24"/>
        </w:rPr>
        <w:t>ędnić w kosztach oraz zapewnić:</w:t>
      </w:r>
    </w:p>
    <w:p w:rsidR="00FA45C1" w:rsidRPr="007D77B5" w:rsidRDefault="006549B7" w:rsidP="00996AC2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/>
          <w:bCs/>
          <w:sz w:val="24"/>
          <w:szCs w:val="24"/>
        </w:rPr>
      </w:pPr>
      <w:r w:rsidRPr="007D77B5">
        <w:rPr>
          <w:rFonts w:eastAsia="Calibri"/>
          <w:sz w:val="24"/>
          <w:szCs w:val="24"/>
          <w:lang w:eastAsia="en-US"/>
        </w:rPr>
        <w:t>Transport urządzeń do i</w:t>
      </w:r>
      <w:r w:rsidR="006439BA" w:rsidRPr="007D77B5">
        <w:rPr>
          <w:rFonts w:eastAsia="Calibri"/>
          <w:sz w:val="24"/>
          <w:szCs w:val="24"/>
          <w:lang w:eastAsia="en-US"/>
        </w:rPr>
        <w:t xml:space="preserve"> z miejsca wykonywanych wierceń</w:t>
      </w:r>
      <w:r w:rsidR="00C1651F">
        <w:rPr>
          <w:rFonts w:eastAsia="Calibri"/>
          <w:sz w:val="24"/>
          <w:szCs w:val="24"/>
          <w:lang w:eastAsia="en-US"/>
        </w:rPr>
        <w:t>:</w:t>
      </w:r>
      <w:r w:rsidR="006439BA" w:rsidRPr="007D77B5">
        <w:rPr>
          <w:rFonts w:eastAsia="Calibri"/>
          <w:sz w:val="24"/>
          <w:szCs w:val="24"/>
          <w:lang w:eastAsia="en-US"/>
        </w:rPr>
        <w:t xml:space="preserve"> MGW zapewnia obsługę urządzenia transportowego w szybie Wyzwolenie oraz obsługę kolejki spalino</w:t>
      </w:r>
      <w:r w:rsidR="00C1651F">
        <w:rPr>
          <w:rFonts w:eastAsia="Calibri"/>
          <w:sz w:val="24"/>
          <w:szCs w:val="24"/>
          <w:lang w:eastAsia="en-US"/>
        </w:rPr>
        <w:t>wej podwiesza</w:t>
      </w:r>
      <w:r w:rsidR="00996AC2" w:rsidRPr="007D77B5">
        <w:rPr>
          <w:rFonts w:eastAsia="Calibri"/>
          <w:sz w:val="24"/>
          <w:szCs w:val="24"/>
          <w:lang w:eastAsia="en-US"/>
        </w:rPr>
        <w:t>nej zabudowanej w D</w:t>
      </w:r>
      <w:r w:rsidR="006439BA" w:rsidRPr="007D77B5">
        <w:rPr>
          <w:rFonts w:eastAsia="Calibri"/>
          <w:sz w:val="24"/>
          <w:szCs w:val="24"/>
          <w:lang w:eastAsia="en-US"/>
        </w:rPr>
        <w:t xml:space="preserve">iagonali transportowej. </w:t>
      </w:r>
      <w:r w:rsidR="004555EA" w:rsidRPr="007D77B5">
        <w:rPr>
          <w:rFonts w:eastAsia="Calibri"/>
          <w:sz w:val="24"/>
          <w:szCs w:val="24"/>
          <w:lang w:eastAsia="en-US"/>
        </w:rPr>
        <w:t>Załadunek</w:t>
      </w:r>
      <w:r w:rsidR="00C1651F">
        <w:rPr>
          <w:rFonts w:eastAsia="Calibri"/>
          <w:sz w:val="24"/>
          <w:szCs w:val="24"/>
          <w:lang w:eastAsia="en-US"/>
        </w:rPr>
        <w:t xml:space="preserve"> i wyładunek materiałów</w:t>
      </w:r>
      <w:r w:rsidR="006439BA" w:rsidRPr="007D77B5">
        <w:rPr>
          <w:rFonts w:eastAsia="Calibri"/>
          <w:sz w:val="24"/>
          <w:szCs w:val="24"/>
          <w:lang w:eastAsia="en-US"/>
        </w:rPr>
        <w:t xml:space="preserve"> i urządzeń do i z urządzeń </w:t>
      </w:r>
      <w:r w:rsidR="004555EA" w:rsidRPr="007D77B5">
        <w:rPr>
          <w:rFonts w:eastAsia="Calibri"/>
          <w:sz w:val="24"/>
          <w:szCs w:val="24"/>
          <w:lang w:eastAsia="en-US"/>
        </w:rPr>
        <w:t>transportowych</w:t>
      </w:r>
      <w:r w:rsidR="006439BA" w:rsidRPr="007D77B5">
        <w:rPr>
          <w:rFonts w:eastAsia="Calibri"/>
          <w:sz w:val="24"/>
          <w:szCs w:val="24"/>
          <w:lang w:eastAsia="en-US"/>
        </w:rPr>
        <w:t xml:space="preserve"> Wykonawca wykona we własnym zakresie</w:t>
      </w:r>
      <w:r w:rsidR="004555EA" w:rsidRPr="007D77B5">
        <w:rPr>
          <w:rFonts w:eastAsia="Calibri"/>
          <w:sz w:val="24"/>
          <w:szCs w:val="24"/>
          <w:lang w:eastAsia="en-US"/>
        </w:rPr>
        <w:t>.</w:t>
      </w:r>
      <w:r w:rsidR="006439BA" w:rsidRPr="007D77B5">
        <w:rPr>
          <w:rFonts w:eastAsia="Calibri"/>
          <w:sz w:val="24"/>
          <w:szCs w:val="24"/>
          <w:lang w:eastAsia="en-US"/>
        </w:rPr>
        <w:t xml:space="preserve"> </w:t>
      </w:r>
    </w:p>
    <w:p w:rsidR="00C1651F" w:rsidRPr="00B1608A" w:rsidRDefault="006549B7" w:rsidP="003B7E28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B1608A">
        <w:rPr>
          <w:rFonts w:eastAsia="Calibri"/>
          <w:sz w:val="24"/>
          <w:szCs w:val="24"/>
          <w:lang w:eastAsia="en-US"/>
        </w:rPr>
        <w:t xml:space="preserve">Zabezpieczenie otworów w trakcie ich wykonywania w sposób zgodny z zasadami sztuki </w:t>
      </w:r>
      <w:r w:rsidR="004555EA" w:rsidRPr="00B1608A">
        <w:rPr>
          <w:rFonts w:eastAsia="Calibri"/>
          <w:sz w:val="24"/>
          <w:szCs w:val="24"/>
          <w:lang w:eastAsia="en-US"/>
        </w:rPr>
        <w:t xml:space="preserve">górniczej </w:t>
      </w:r>
      <w:r w:rsidRPr="00B1608A">
        <w:rPr>
          <w:rFonts w:eastAsia="Calibri"/>
          <w:sz w:val="24"/>
          <w:szCs w:val="24"/>
          <w:lang w:eastAsia="en-US"/>
        </w:rPr>
        <w:t>i wykluczający powstanie zagrożeń dla wyrobisk, powierzchni i ludzi przebywających w wyrobiskach.</w:t>
      </w:r>
      <w:r w:rsidR="00C1651F" w:rsidRPr="00B1608A">
        <w:rPr>
          <w:rFonts w:eastAsia="Calibri"/>
          <w:sz w:val="24"/>
          <w:szCs w:val="24"/>
          <w:lang w:eastAsia="en-US"/>
        </w:rPr>
        <w:t xml:space="preserve"> </w:t>
      </w:r>
      <w:r w:rsidR="003B7E28" w:rsidRPr="00B1608A">
        <w:rPr>
          <w:rFonts w:eastAsia="Calibri"/>
          <w:sz w:val="24"/>
          <w:szCs w:val="24"/>
          <w:lang w:eastAsia="en-US"/>
        </w:rPr>
        <w:t xml:space="preserve">Zabezpieczenie otworów powinno być wykonane również na czas pomiędzy ich odwierceniem a likwidacją (dla wykonania skaningu) oraz </w:t>
      </w:r>
      <w:r w:rsidR="00A13B69" w:rsidRPr="00B1608A">
        <w:rPr>
          <w:rFonts w:eastAsia="Calibri"/>
          <w:sz w:val="24"/>
          <w:szCs w:val="24"/>
          <w:lang w:eastAsia="en-US"/>
        </w:rPr>
        <w:t xml:space="preserve">otworów, które decyzją Zamawiającego </w:t>
      </w:r>
      <w:r w:rsidR="003B7E28" w:rsidRPr="00B1608A">
        <w:rPr>
          <w:rFonts w:eastAsia="Calibri"/>
          <w:sz w:val="24"/>
          <w:szCs w:val="24"/>
          <w:lang w:eastAsia="en-US"/>
        </w:rPr>
        <w:t xml:space="preserve">nie </w:t>
      </w:r>
      <w:r w:rsidR="00A13B69" w:rsidRPr="00B1608A">
        <w:rPr>
          <w:rFonts w:eastAsia="Calibri"/>
          <w:sz w:val="24"/>
          <w:szCs w:val="24"/>
          <w:lang w:eastAsia="en-US"/>
        </w:rPr>
        <w:t xml:space="preserve">będą </w:t>
      </w:r>
      <w:r w:rsidR="003B7E28" w:rsidRPr="00B1608A">
        <w:rPr>
          <w:rFonts w:eastAsia="Calibri"/>
          <w:sz w:val="24"/>
          <w:szCs w:val="24"/>
          <w:lang w:eastAsia="en-US"/>
        </w:rPr>
        <w:t>likwidowan</w:t>
      </w:r>
      <w:r w:rsidR="00A13B69" w:rsidRPr="00B1608A">
        <w:rPr>
          <w:rFonts w:eastAsia="Calibri"/>
          <w:sz w:val="24"/>
          <w:szCs w:val="24"/>
          <w:lang w:eastAsia="en-US"/>
        </w:rPr>
        <w:t>e</w:t>
      </w:r>
      <w:r w:rsidR="003B7E28" w:rsidRPr="00B1608A">
        <w:rPr>
          <w:rFonts w:eastAsia="Calibri"/>
          <w:sz w:val="24"/>
          <w:szCs w:val="24"/>
          <w:lang w:eastAsia="en-US"/>
        </w:rPr>
        <w:t>.</w:t>
      </w:r>
    </w:p>
    <w:p w:rsidR="00FA45C1" w:rsidRPr="00B1608A" w:rsidRDefault="00C1651F" w:rsidP="00A13B69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B1608A">
        <w:rPr>
          <w:rFonts w:eastAsia="Calibri"/>
          <w:sz w:val="24"/>
          <w:szCs w:val="24"/>
          <w:lang w:eastAsia="en-US"/>
        </w:rPr>
        <w:t>Podczas prac wiertniczych, w sytuacji gdy możliwe jest nawiercenie naturalnych zbiorników utworzonych w górotworze i wypełnionych</w:t>
      </w:r>
      <w:r w:rsidR="003B7E28" w:rsidRPr="00B1608A">
        <w:rPr>
          <w:rFonts w:eastAsia="Calibri"/>
          <w:sz w:val="24"/>
          <w:szCs w:val="24"/>
          <w:lang w:eastAsia="en-US"/>
        </w:rPr>
        <w:t xml:space="preserve"> gazami kopalnianymi, należy zastosować środki zabezpieczające przed możliwością wystąpienia zagrożenia dla wyrobisk, powierzchni i ludzi przebywających w wyrobiskach.</w:t>
      </w:r>
    </w:p>
    <w:p w:rsidR="00FA45C1" w:rsidRPr="007D77B5" w:rsidRDefault="006549B7" w:rsidP="00996AC2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Każdy z otworów powinien być oznakowany oraz naniesiony na mapę i opisany na mapie takim samym znakiem. Otwór po zlikwidowaniu powinien posiadać trwałe oznakowanie umieszczone we wlocie do otworu (np. kapsułka </w:t>
      </w:r>
      <w:r w:rsidR="009E2550" w:rsidRPr="007D77B5">
        <w:rPr>
          <w:rFonts w:eastAsia="Calibri"/>
          <w:sz w:val="24"/>
          <w:szCs w:val="24"/>
          <w:lang w:eastAsia="en-US"/>
        </w:rPr>
        <w:t>lub tabliczka z oznakowaniem numerycznym obowiązującym w dokumentacji powykonawczej</w:t>
      </w:r>
      <w:r w:rsidRPr="007D77B5">
        <w:rPr>
          <w:rFonts w:eastAsia="Calibri"/>
          <w:sz w:val="24"/>
          <w:szCs w:val="24"/>
          <w:lang w:eastAsia="en-US"/>
        </w:rPr>
        <w:t xml:space="preserve">). </w:t>
      </w:r>
    </w:p>
    <w:p w:rsidR="00FA45C1" w:rsidRPr="007D77B5" w:rsidRDefault="006549B7" w:rsidP="00996AC2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Przywrócenie wyrobisk do stanu nie gorszego niż zastany.  </w:t>
      </w:r>
    </w:p>
    <w:p w:rsidR="005A623E" w:rsidRPr="007D77B5" w:rsidRDefault="005A623E" w:rsidP="00996AC2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lastRenderedPageBreak/>
        <w:t xml:space="preserve">W wyrobiskach prowadzony jest ruch turystyczny </w:t>
      </w:r>
      <w:r w:rsidR="004555EA" w:rsidRPr="007D77B5">
        <w:rPr>
          <w:rFonts w:eastAsia="Calibri"/>
          <w:sz w:val="24"/>
          <w:szCs w:val="24"/>
          <w:lang w:eastAsia="en-US"/>
        </w:rPr>
        <w:t>dlatego</w:t>
      </w:r>
      <w:r w:rsidRPr="007D77B5">
        <w:rPr>
          <w:rFonts w:eastAsia="Calibri"/>
          <w:sz w:val="24"/>
          <w:szCs w:val="24"/>
          <w:lang w:eastAsia="en-US"/>
        </w:rPr>
        <w:t xml:space="preserve"> wiercenia oraz transport szybem może być czasowo utrudniony. W związku z powyższym prowadzenie robót będzie wymagało szczegółowej koordynacji z Zamawiającym.</w:t>
      </w:r>
    </w:p>
    <w:p w:rsidR="00FA45C1" w:rsidRPr="007D77B5" w:rsidRDefault="006549B7" w:rsidP="008D229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Zorganizować niezbędne zaplecze na powierzchni terenu oraz w wyrobiskach dla składowania materiałów, narzędzi i urządzeń.</w:t>
      </w:r>
    </w:p>
    <w:p w:rsidR="00FA45C1" w:rsidRPr="007D77B5" w:rsidRDefault="008D2295" w:rsidP="008D229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Dla przyłączy mediów na</w:t>
      </w:r>
      <w:r w:rsidR="006549B7" w:rsidRPr="007D77B5">
        <w:rPr>
          <w:rFonts w:eastAsia="Calibri"/>
          <w:sz w:val="24"/>
          <w:szCs w:val="24"/>
          <w:lang w:eastAsia="en-US"/>
        </w:rPr>
        <w:t xml:space="preserve"> powierzchni terenu (poboru wody i zużycia energii elektrycznej) zabudować układy pomiarowe, i ponosić koszty ich wykorzystania w trakcie </w:t>
      </w:r>
      <w:r w:rsidRPr="007D77B5">
        <w:rPr>
          <w:rFonts w:eastAsia="Calibri"/>
          <w:sz w:val="24"/>
          <w:szCs w:val="24"/>
          <w:lang w:eastAsia="en-US"/>
        </w:rPr>
        <w:t>realizacji umowy</w:t>
      </w:r>
      <w:r w:rsidR="006549B7" w:rsidRPr="007D77B5">
        <w:rPr>
          <w:rFonts w:eastAsia="Calibri"/>
          <w:sz w:val="24"/>
          <w:szCs w:val="24"/>
          <w:lang w:eastAsia="en-US"/>
        </w:rPr>
        <w:t xml:space="preserve"> – za wyjątkiem kosztów poboru wody technologicznej  i zużycia energii elektrycznej dla robót dołowych.</w:t>
      </w:r>
    </w:p>
    <w:p w:rsidR="00FA45C1" w:rsidRPr="007D77B5" w:rsidRDefault="006549B7" w:rsidP="008D229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Zapewnić zatrudnionym pracownikom lampy </w:t>
      </w:r>
      <w:proofErr w:type="spellStart"/>
      <w:r w:rsidRPr="007D77B5">
        <w:rPr>
          <w:rFonts w:eastAsia="Calibri"/>
          <w:sz w:val="24"/>
          <w:szCs w:val="24"/>
          <w:lang w:eastAsia="en-US"/>
        </w:rPr>
        <w:t>nahełmne</w:t>
      </w:r>
      <w:proofErr w:type="spellEnd"/>
      <w:r w:rsidRPr="007D77B5">
        <w:rPr>
          <w:rFonts w:eastAsia="Calibri"/>
          <w:sz w:val="24"/>
          <w:szCs w:val="24"/>
          <w:lang w:eastAsia="en-US"/>
        </w:rPr>
        <w:t xml:space="preserve"> oraz zapewnić możliwość ich składowania  obsługi i ładowania na własny koszt.</w:t>
      </w:r>
    </w:p>
    <w:p w:rsidR="006549B7" w:rsidRPr="007D77B5" w:rsidRDefault="006549B7" w:rsidP="008D229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Zabezpieczyć wszelkie wymagane prawem środki ochrony osobistej, elementy BHP oraz</w:t>
      </w:r>
      <w:r w:rsidR="008D2295" w:rsidRPr="007D77B5">
        <w:rPr>
          <w:rFonts w:eastAsia="Calibri"/>
          <w:sz w:val="24"/>
          <w:szCs w:val="24"/>
          <w:lang w:eastAsia="en-US"/>
        </w:rPr>
        <w:t xml:space="preserve"> </w:t>
      </w:r>
      <w:r w:rsidRPr="007D77B5">
        <w:rPr>
          <w:rFonts w:eastAsia="Calibri"/>
          <w:sz w:val="24"/>
          <w:szCs w:val="24"/>
          <w:lang w:eastAsia="en-US"/>
        </w:rPr>
        <w:t>urządzenia pomiarowe dla zatrudnionych pracowników oraz zapewnić miejsce obsługi i składowania.</w:t>
      </w:r>
    </w:p>
    <w:p w:rsidR="008D2295" w:rsidRPr="007D77B5" w:rsidRDefault="006549B7" w:rsidP="008D2295">
      <w:pPr>
        <w:pStyle w:val="Akapitzlist"/>
        <w:numPr>
          <w:ilvl w:val="0"/>
          <w:numId w:val="14"/>
        </w:numPr>
        <w:spacing w:before="120"/>
        <w:ind w:left="426" w:hanging="426"/>
        <w:jc w:val="both"/>
        <w:rPr>
          <w:b/>
          <w:bCs/>
          <w:sz w:val="28"/>
          <w:szCs w:val="24"/>
        </w:rPr>
      </w:pPr>
      <w:r w:rsidRPr="007D77B5">
        <w:rPr>
          <w:b/>
          <w:bCs/>
          <w:sz w:val="28"/>
          <w:szCs w:val="24"/>
        </w:rPr>
        <w:t>Warunki odbioru prac:</w:t>
      </w:r>
    </w:p>
    <w:p w:rsidR="006549B7" w:rsidRPr="007D77B5" w:rsidRDefault="006549B7" w:rsidP="008D229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b/>
          <w:bCs/>
          <w:sz w:val="24"/>
          <w:szCs w:val="24"/>
        </w:rPr>
      </w:pPr>
      <w:r w:rsidRPr="007D77B5">
        <w:rPr>
          <w:rFonts w:eastAsia="Calibri"/>
          <w:sz w:val="24"/>
          <w:szCs w:val="24"/>
          <w:lang w:eastAsia="en-US"/>
        </w:rPr>
        <w:t xml:space="preserve">Zamawiający </w:t>
      </w:r>
      <w:r w:rsidRPr="007D77B5">
        <w:rPr>
          <w:sz w:val="24"/>
          <w:szCs w:val="24"/>
        </w:rPr>
        <w:t>ustala następujące rodzaje odbiorów:</w:t>
      </w:r>
    </w:p>
    <w:p w:rsidR="005A623E" w:rsidRPr="007D77B5" w:rsidRDefault="005A623E" w:rsidP="008D2295">
      <w:pPr>
        <w:pStyle w:val="Akapitzlist"/>
        <w:widowControl w:val="0"/>
        <w:numPr>
          <w:ilvl w:val="0"/>
          <w:numId w:val="25"/>
        </w:numPr>
        <w:suppressAutoHyphens/>
        <w:overflowPunct w:val="0"/>
        <w:adjustRightInd w:val="0"/>
        <w:spacing w:before="120"/>
        <w:ind w:left="567"/>
        <w:jc w:val="both"/>
        <w:rPr>
          <w:sz w:val="24"/>
          <w:szCs w:val="24"/>
        </w:rPr>
      </w:pPr>
      <w:r w:rsidRPr="007D77B5">
        <w:rPr>
          <w:sz w:val="24"/>
          <w:szCs w:val="24"/>
        </w:rPr>
        <w:t xml:space="preserve">odbiór techniczny otworu lub grupy otworów, </w:t>
      </w:r>
    </w:p>
    <w:p w:rsidR="006549B7" w:rsidRPr="007D77B5" w:rsidRDefault="006549B7" w:rsidP="008D2295">
      <w:pPr>
        <w:pStyle w:val="Akapitzlist"/>
        <w:widowControl w:val="0"/>
        <w:numPr>
          <w:ilvl w:val="0"/>
          <w:numId w:val="25"/>
        </w:numPr>
        <w:suppressAutoHyphens/>
        <w:overflowPunct w:val="0"/>
        <w:adjustRightInd w:val="0"/>
        <w:spacing w:before="120"/>
        <w:ind w:left="567"/>
        <w:jc w:val="both"/>
        <w:rPr>
          <w:sz w:val="24"/>
          <w:szCs w:val="24"/>
        </w:rPr>
      </w:pPr>
      <w:r w:rsidRPr="007D77B5">
        <w:rPr>
          <w:sz w:val="24"/>
          <w:szCs w:val="24"/>
        </w:rPr>
        <w:t>odbiór częściowy</w:t>
      </w:r>
      <w:r w:rsidR="008D2295" w:rsidRPr="007D77B5">
        <w:rPr>
          <w:sz w:val="24"/>
          <w:szCs w:val="24"/>
        </w:rPr>
        <w:t>,</w:t>
      </w:r>
    </w:p>
    <w:p w:rsidR="006549B7" w:rsidRPr="007D77B5" w:rsidRDefault="006549B7" w:rsidP="008D2295">
      <w:pPr>
        <w:pStyle w:val="Akapitzlist"/>
        <w:widowControl w:val="0"/>
        <w:numPr>
          <w:ilvl w:val="0"/>
          <w:numId w:val="25"/>
        </w:numPr>
        <w:suppressAutoHyphens/>
        <w:overflowPunct w:val="0"/>
        <w:adjustRightInd w:val="0"/>
        <w:spacing w:before="120"/>
        <w:ind w:left="567"/>
        <w:jc w:val="both"/>
        <w:rPr>
          <w:sz w:val="24"/>
          <w:szCs w:val="24"/>
        </w:rPr>
      </w:pPr>
      <w:r w:rsidRPr="007D77B5">
        <w:rPr>
          <w:sz w:val="24"/>
          <w:szCs w:val="24"/>
        </w:rPr>
        <w:t>odbiór końcowy</w:t>
      </w:r>
      <w:r w:rsidR="008D2295" w:rsidRPr="007D77B5">
        <w:rPr>
          <w:sz w:val="24"/>
          <w:szCs w:val="24"/>
        </w:rPr>
        <w:t>.</w:t>
      </w:r>
    </w:p>
    <w:p w:rsidR="005A623E" w:rsidRPr="007D77B5" w:rsidRDefault="005A623E" w:rsidP="008D229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Odbiorom technicznym podlega każdy otwór lub grupa otworów co do ich zgodności względem </w:t>
      </w:r>
      <w:r w:rsidR="00A13B69">
        <w:rPr>
          <w:rFonts w:eastAsia="Calibri"/>
          <w:sz w:val="24"/>
          <w:szCs w:val="24"/>
          <w:lang w:eastAsia="en-US"/>
        </w:rPr>
        <w:t xml:space="preserve">współrzędnych, </w:t>
      </w:r>
      <w:r w:rsidRPr="007D77B5">
        <w:rPr>
          <w:rFonts w:eastAsia="Calibri"/>
          <w:sz w:val="24"/>
          <w:szCs w:val="24"/>
          <w:lang w:eastAsia="en-US"/>
        </w:rPr>
        <w:t>kierunku i nachylenia, długości, rurowania, likwidacji oraz oznakowania.</w:t>
      </w:r>
    </w:p>
    <w:p w:rsidR="006549B7" w:rsidRPr="007D77B5" w:rsidRDefault="006549B7" w:rsidP="008D229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Odbiorom częściowym podlegają części zamówienia przewidziane </w:t>
      </w:r>
      <w:r w:rsidR="008D2295" w:rsidRPr="007D77B5">
        <w:rPr>
          <w:rFonts w:eastAsia="Calibri"/>
          <w:sz w:val="24"/>
          <w:szCs w:val="24"/>
          <w:lang w:eastAsia="en-US"/>
        </w:rPr>
        <w:t xml:space="preserve">do realizacji w ramach </w:t>
      </w:r>
      <w:r w:rsidRPr="007D77B5">
        <w:rPr>
          <w:rFonts w:eastAsia="Calibri"/>
          <w:sz w:val="24"/>
          <w:szCs w:val="24"/>
          <w:lang w:eastAsia="en-US"/>
        </w:rPr>
        <w:t>niniejszej specyfikacji.</w:t>
      </w:r>
      <w:r w:rsidR="005A623E" w:rsidRPr="007D77B5">
        <w:rPr>
          <w:rFonts w:eastAsia="Calibri"/>
          <w:sz w:val="24"/>
          <w:szCs w:val="24"/>
          <w:lang w:eastAsia="en-US"/>
        </w:rPr>
        <w:t xml:space="preserve"> Podstawą odbiorów częściowych są dokonane odbiory techniczne. Odbiory częściowe dokonywane będą nie częściej niż raz w miesiącu.</w:t>
      </w:r>
    </w:p>
    <w:p w:rsidR="006549B7" w:rsidRPr="007D77B5" w:rsidRDefault="006549B7" w:rsidP="008D229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Przedmiotem odbioru końcowego jest pełny zakres robót przewidzianych umową.</w:t>
      </w:r>
    </w:p>
    <w:p w:rsidR="006549B7" w:rsidRPr="007D77B5" w:rsidRDefault="006549B7" w:rsidP="008D229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Wykonane prace odbierane będą obmiarowo uwzględniając:</w:t>
      </w:r>
    </w:p>
    <w:p w:rsidR="006549B7" w:rsidRPr="007D77B5" w:rsidRDefault="006549B7" w:rsidP="008D2295">
      <w:pPr>
        <w:pStyle w:val="Akapitzlist"/>
        <w:numPr>
          <w:ilvl w:val="1"/>
          <w:numId w:val="27"/>
        </w:numPr>
        <w:spacing w:before="120"/>
        <w:ind w:left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sumaryczną długość wykonanych otworów bez pobierania rdzenia</w:t>
      </w:r>
      <w:r w:rsidR="00260E66" w:rsidRPr="007D77B5">
        <w:rPr>
          <w:rFonts w:eastAsia="Calibri"/>
          <w:sz w:val="24"/>
          <w:szCs w:val="24"/>
          <w:lang w:eastAsia="en-US"/>
        </w:rPr>
        <w:t>,</w:t>
      </w:r>
    </w:p>
    <w:p w:rsidR="006549B7" w:rsidRPr="007D77B5" w:rsidRDefault="006549B7" w:rsidP="008D2295">
      <w:pPr>
        <w:pStyle w:val="Akapitzlist"/>
        <w:numPr>
          <w:ilvl w:val="1"/>
          <w:numId w:val="27"/>
        </w:numPr>
        <w:spacing w:before="120"/>
        <w:ind w:left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sumaryczną długość wykonanych otworów z pobraniem rdzenia</w:t>
      </w:r>
      <w:r w:rsidR="00260E66" w:rsidRPr="007D77B5">
        <w:rPr>
          <w:rFonts w:eastAsia="Calibri"/>
          <w:sz w:val="24"/>
          <w:szCs w:val="24"/>
          <w:lang w:eastAsia="en-US"/>
        </w:rPr>
        <w:t>,</w:t>
      </w:r>
    </w:p>
    <w:p w:rsidR="00260E66" w:rsidRPr="007D77B5" w:rsidRDefault="008D2295" w:rsidP="008D2295">
      <w:pPr>
        <w:pStyle w:val="Akapitzlist"/>
        <w:numPr>
          <w:ilvl w:val="1"/>
          <w:numId w:val="27"/>
        </w:numPr>
        <w:spacing w:before="120"/>
        <w:ind w:left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sumaryczną długość </w:t>
      </w:r>
      <w:r w:rsidR="006549B7" w:rsidRPr="007D77B5">
        <w:rPr>
          <w:rFonts w:eastAsia="Calibri"/>
          <w:sz w:val="24"/>
          <w:szCs w:val="24"/>
          <w:lang w:eastAsia="en-US"/>
        </w:rPr>
        <w:t>rurowania otworów</w:t>
      </w:r>
      <w:r w:rsidR="00260E66" w:rsidRPr="007D77B5">
        <w:rPr>
          <w:rFonts w:eastAsia="Calibri"/>
          <w:sz w:val="24"/>
          <w:szCs w:val="24"/>
          <w:lang w:eastAsia="en-US"/>
        </w:rPr>
        <w:t>,</w:t>
      </w:r>
    </w:p>
    <w:p w:rsidR="006549B7" w:rsidRPr="007D77B5" w:rsidRDefault="00260E66" w:rsidP="008D2295">
      <w:pPr>
        <w:pStyle w:val="Akapitzlist"/>
        <w:numPr>
          <w:ilvl w:val="1"/>
          <w:numId w:val="27"/>
        </w:numPr>
        <w:spacing w:before="120"/>
        <w:ind w:left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sumaryczną długość zlikwidowanych otworów</w:t>
      </w:r>
      <w:r w:rsidR="005A623E" w:rsidRPr="007D77B5">
        <w:rPr>
          <w:rFonts w:eastAsia="Calibri"/>
          <w:sz w:val="24"/>
          <w:szCs w:val="24"/>
          <w:lang w:eastAsia="en-US"/>
        </w:rPr>
        <w:t>,</w:t>
      </w:r>
    </w:p>
    <w:p w:rsidR="005A623E" w:rsidRPr="007D77B5" w:rsidRDefault="005A623E" w:rsidP="008D2295">
      <w:pPr>
        <w:pStyle w:val="Akapitzlist"/>
        <w:numPr>
          <w:ilvl w:val="1"/>
          <w:numId w:val="27"/>
        </w:numPr>
        <w:spacing w:before="120"/>
        <w:ind w:left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sumaryczną ilość wykonywanych </w:t>
      </w:r>
      <w:r w:rsidR="00DE60FF">
        <w:rPr>
          <w:rFonts w:eastAsia="Calibri"/>
          <w:sz w:val="24"/>
          <w:szCs w:val="24"/>
          <w:lang w:eastAsia="en-US"/>
        </w:rPr>
        <w:t xml:space="preserve">i zlikwidowanych </w:t>
      </w:r>
      <w:r w:rsidRPr="007D77B5">
        <w:rPr>
          <w:rFonts w:eastAsia="Calibri"/>
          <w:sz w:val="24"/>
          <w:szCs w:val="24"/>
          <w:lang w:eastAsia="en-US"/>
        </w:rPr>
        <w:t>stanowisk wiertniczych.</w:t>
      </w:r>
    </w:p>
    <w:p w:rsidR="006F3281" w:rsidRPr="007D77B5" w:rsidRDefault="006F3281" w:rsidP="0091365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Odbiór częściowy przeprowadzony zostanie przez Zamawiającego w osobach koordynatora i/lub przedstawiciela ze strony Zamawiającego (wymienionych w umowie) oraz kierownika ruchu zakładu MGW w Zabrzu lub osobę przez nią upoważnioną, a także Kierownika Działu REOK lub osobę przez nią upoważnioną i obejmowała będzie  zakres zrealizowanych w danym okresie prac.</w:t>
      </w:r>
    </w:p>
    <w:p w:rsidR="006549B7" w:rsidRPr="007D77B5" w:rsidRDefault="006549B7" w:rsidP="0091365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>Odbiór końcowy następuje po zaistnieniu dowolnej niżej opisanej okoliczności:</w:t>
      </w:r>
    </w:p>
    <w:p w:rsidR="006549B7" w:rsidRPr="007D77B5" w:rsidRDefault="0097059E" w:rsidP="0097059E">
      <w:pPr>
        <w:spacing w:before="120"/>
        <w:ind w:left="993" w:hanging="426"/>
        <w:jc w:val="both"/>
        <w:rPr>
          <w:rFonts w:eastAsia="Calibri"/>
          <w:lang w:eastAsia="en-US"/>
        </w:rPr>
      </w:pPr>
      <w:r w:rsidRPr="007D77B5">
        <w:rPr>
          <w:rFonts w:eastAsia="Calibri"/>
          <w:lang w:eastAsia="en-US"/>
        </w:rPr>
        <w:lastRenderedPageBreak/>
        <w:t>1)</w:t>
      </w:r>
      <w:r w:rsidRPr="007D77B5">
        <w:rPr>
          <w:rFonts w:eastAsia="Calibri"/>
          <w:lang w:eastAsia="en-US"/>
        </w:rPr>
        <w:tab/>
      </w:r>
      <w:r w:rsidR="006549B7" w:rsidRPr="007D77B5">
        <w:rPr>
          <w:rFonts w:eastAsia="Calibri"/>
          <w:lang w:eastAsia="en-US"/>
        </w:rPr>
        <w:t>wykonaniu całości zakresu robót opisanych zamówieniem,</w:t>
      </w:r>
    </w:p>
    <w:p w:rsidR="006549B7" w:rsidRPr="007D77B5" w:rsidRDefault="0097059E" w:rsidP="0097059E">
      <w:pPr>
        <w:spacing w:before="120"/>
        <w:ind w:left="993" w:hanging="426"/>
        <w:jc w:val="both"/>
        <w:rPr>
          <w:rFonts w:eastAsia="Calibri"/>
          <w:lang w:eastAsia="en-US"/>
        </w:rPr>
      </w:pPr>
      <w:r w:rsidRPr="007D77B5">
        <w:rPr>
          <w:rFonts w:eastAsia="Calibri"/>
          <w:lang w:eastAsia="en-US"/>
        </w:rPr>
        <w:t>2)</w:t>
      </w:r>
      <w:r w:rsidRPr="007D77B5">
        <w:rPr>
          <w:rFonts w:eastAsia="Calibri"/>
          <w:lang w:eastAsia="en-US"/>
        </w:rPr>
        <w:tab/>
      </w:r>
      <w:r w:rsidR="006549B7" w:rsidRPr="007D77B5">
        <w:rPr>
          <w:rFonts w:eastAsia="Calibri"/>
          <w:lang w:eastAsia="en-US"/>
        </w:rPr>
        <w:t>upływie terminu realizacji zamówienia.</w:t>
      </w:r>
    </w:p>
    <w:p w:rsidR="006F3281" w:rsidRPr="007D77B5" w:rsidRDefault="006F3281" w:rsidP="00913655">
      <w:pPr>
        <w:pStyle w:val="Akapitzlist"/>
        <w:numPr>
          <w:ilvl w:val="1"/>
          <w:numId w:val="14"/>
        </w:numPr>
        <w:spacing w:before="120"/>
        <w:ind w:left="567" w:hanging="567"/>
        <w:jc w:val="both"/>
        <w:rPr>
          <w:rFonts w:eastAsia="Calibri"/>
          <w:sz w:val="24"/>
          <w:szCs w:val="24"/>
          <w:lang w:eastAsia="en-US"/>
        </w:rPr>
      </w:pPr>
      <w:r w:rsidRPr="007D77B5">
        <w:rPr>
          <w:rFonts w:eastAsia="Calibri"/>
          <w:sz w:val="24"/>
          <w:szCs w:val="24"/>
          <w:lang w:eastAsia="en-US"/>
        </w:rPr>
        <w:t xml:space="preserve">Podstawą wystawienia faktury po odbiorze częściowym jest protokół zatwierdzony przez Dyrektora MGW w Zabrzu. </w:t>
      </w:r>
    </w:p>
    <w:p w:rsidR="006F3281" w:rsidRPr="007D77B5" w:rsidRDefault="006F3281" w:rsidP="0097059E">
      <w:pPr>
        <w:spacing w:before="120"/>
        <w:ind w:left="993" w:hanging="426"/>
        <w:jc w:val="both"/>
        <w:rPr>
          <w:rFonts w:eastAsia="Calibri"/>
          <w:lang w:eastAsia="en-US"/>
        </w:rPr>
      </w:pPr>
    </w:p>
    <w:p w:rsidR="006549B7" w:rsidRPr="007D77B5" w:rsidRDefault="006549B7" w:rsidP="006549B7">
      <w:pPr>
        <w:spacing w:before="120"/>
        <w:jc w:val="both"/>
        <w:rPr>
          <w:rFonts w:eastAsia="Calibri"/>
          <w:b/>
          <w:lang w:eastAsia="en-US"/>
        </w:rPr>
      </w:pPr>
      <w:r w:rsidRPr="007D77B5">
        <w:rPr>
          <w:rFonts w:eastAsia="Calibri"/>
          <w:b/>
          <w:lang w:eastAsia="en-US"/>
        </w:rPr>
        <w:t>Załączniki:</w:t>
      </w:r>
    </w:p>
    <w:p w:rsidR="0097059E" w:rsidRPr="007D77B5" w:rsidRDefault="006549B7" w:rsidP="0097059E">
      <w:pPr>
        <w:spacing w:before="120"/>
        <w:ind w:left="284" w:hanging="284"/>
        <w:jc w:val="both"/>
        <w:rPr>
          <w:rFonts w:eastAsia="Calibri"/>
          <w:lang w:eastAsia="en-US"/>
        </w:rPr>
      </w:pPr>
      <w:r w:rsidRPr="007D77B5">
        <w:rPr>
          <w:rFonts w:eastAsia="Calibri"/>
          <w:lang w:eastAsia="en-US"/>
        </w:rPr>
        <w:t>1</w:t>
      </w:r>
      <w:r w:rsidR="0097059E" w:rsidRPr="007D77B5">
        <w:rPr>
          <w:rFonts w:eastAsia="Calibri"/>
          <w:lang w:eastAsia="en-US"/>
        </w:rPr>
        <w:t>)</w:t>
      </w:r>
      <w:r w:rsidR="0097059E" w:rsidRPr="007D77B5">
        <w:rPr>
          <w:rFonts w:eastAsia="Calibri"/>
          <w:lang w:eastAsia="en-US"/>
        </w:rPr>
        <w:tab/>
        <w:t xml:space="preserve">Specyfikacja Wykonania i Odbioru Robót </w:t>
      </w:r>
      <w:r w:rsidR="0097059E" w:rsidRPr="007D77B5">
        <w:t>Wiertniczych i Górniczych,</w:t>
      </w:r>
    </w:p>
    <w:p w:rsidR="0097059E" w:rsidRPr="007D77B5" w:rsidRDefault="0097059E" w:rsidP="0097059E">
      <w:pPr>
        <w:spacing w:before="120"/>
        <w:ind w:left="284" w:hanging="284"/>
        <w:jc w:val="both"/>
        <w:rPr>
          <w:rFonts w:eastAsia="Calibri"/>
          <w:lang w:eastAsia="en-US"/>
        </w:rPr>
      </w:pPr>
      <w:r w:rsidRPr="007D77B5">
        <w:rPr>
          <w:rFonts w:eastAsia="Calibri"/>
          <w:lang w:eastAsia="en-US"/>
        </w:rPr>
        <w:t>2)</w:t>
      </w:r>
      <w:r w:rsidRPr="007D77B5">
        <w:rPr>
          <w:rFonts w:eastAsia="Calibri"/>
          <w:lang w:eastAsia="en-US"/>
        </w:rPr>
        <w:tab/>
      </w:r>
      <w:bookmarkStart w:id="2" w:name="bookmark0"/>
      <w:r w:rsidRPr="007D77B5">
        <w:t>Uzgodnienia</w:t>
      </w:r>
      <w:bookmarkEnd w:id="2"/>
      <w:r w:rsidRPr="007D77B5">
        <w:t xml:space="preserve"> szczegółowych warunków współpracy pomiędzy stronami,</w:t>
      </w:r>
    </w:p>
    <w:p w:rsidR="00BA05AC" w:rsidRPr="007D77B5" w:rsidRDefault="0097059E" w:rsidP="0097059E">
      <w:pPr>
        <w:spacing w:before="120"/>
        <w:ind w:left="284" w:hanging="284"/>
        <w:jc w:val="both"/>
      </w:pPr>
      <w:r w:rsidRPr="007D77B5">
        <w:rPr>
          <w:rFonts w:eastAsia="Calibri"/>
          <w:lang w:eastAsia="en-US"/>
        </w:rPr>
        <w:t>3)</w:t>
      </w:r>
      <w:r w:rsidRPr="007D77B5">
        <w:rPr>
          <w:rFonts w:eastAsia="Calibri"/>
          <w:lang w:eastAsia="en-US"/>
        </w:rPr>
        <w:tab/>
      </w:r>
      <w:r w:rsidR="00BA05AC" w:rsidRPr="007D77B5">
        <w:rPr>
          <w:rFonts w:eastAsia="Calibri"/>
          <w:lang w:eastAsia="en-US"/>
        </w:rPr>
        <w:t>Profil geologiczny - p</w:t>
      </w:r>
      <w:r w:rsidR="00BA05AC" w:rsidRPr="007D77B5">
        <w:t xml:space="preserve">rzekrój przez Główną Kluczowa Sztolnię Dziedziczną </w:t>
      </w:r>
    </w:p>
    <w:p w:rsidR="006549B7" w:rsidRPr="007D77B5" w:rsidRDefault="00BA05AC" w:rsidP="0097059E">
      <w:pPr>
        <w:spacing w:before="120"/>
        <w:ind w:left="284" w:hanging="284"/>
        <w:jc w:val="both"/>
        <w:rPr>
          <w:rFonts w:eastAsia="Calibri"/>
          <w:lang w:eastAsia="en-US"/>
        </w:rPr>
      </w:pPr>
      <w:r w:rsidRPr="007D77B5">
        <w:t>4)</w:t>
      </w:r>
      <w:r w:rsidRPr="007D77B5">
        <w:tab/>
      </w:r>
      <w:r w:rsidR="0097059E" w:rsidRPr="007D77B5">
        <w:t>Mapa wyrobisk Główn</w:t>
      </w:r>
      <w:r w:rsidRPr="007D77B5">
        <w:t>ej</w:t>
      </w:r>
      <w:r w:rsidR="0097059E" w:rsidRPr="007D77B5">
        <w:t xml:space="preserve"> Kluczow</w:t>
      </w:r>
      <w:r w:rsidRPr="007D77B5">
        <w:t>ej</w:t>
      </w:r>
      <w:r w:rsidR="0097059E" w:rsidRPr="007D77B5">
        <w:t xml:space="preserve"> Sztolni Dziedziczn</w:t>
      </w:r>
      <w:r w:rsidRPr="007D77B5">
        <w:t>ej</w:t>
      </w:r>
      <w:r w:rsidR="0097059E" w:rsidRPr="007D77B5">
        <w:t xml:space="preserve"> - lokalizacja </w:t>
      </w:r>
      <w:r w:rsidR="0097059E" w:rsidRPr="007D77B5">
        <w:rPr>
          <w:rFonts w:eastAsia="Calibri"/>
          <w:lang w:eastAsia="en-US"/>
        </w:rPr>
        <w:t>wyrobisk z </w:t>
      </w:r>
      <w:r w:rsidR="006549B7" w:rsidRPr="007D77B5">
        <w:rPr>
          <w:rFonts w:eastAsia="Calibri"/>
          <w:lang w:eastAsia="en-US"/>
        </w:rPr>
        <w:t>oznaczonymi miejscami (stanowiskami) wykonan</w:t>
      </w:r>
      <w:r w:rsidR="00821D0E" w:rsidRPr="007D77B5">
        <w:rPr>
          <w:rFonts w:eastAsia="Calibri"/>
          <w:lang w:eastAsia="en-US"/>
        </w:rPr>
        <w:t xml:space="preserve">ia robót wiertniczych dla zadania I </w:t>
      </w:r>
      <w:proofErr w:type="spellStart"/>
      <w:r w:rsidR="00821D0E" w:rsidRPr="007D77B5">
        <w:rPr>
          <w:rFonts w:eastAsia="Calibri"/>
          <w:lang w:eastAsia="en-US"/>
        </w:rPr>
        <w:t>i</w:t>
      </w:r>
      <w:proofErr w:type="spellEnd"/>
      <w:r w:rsidR="00821D0E" w:rsidRPr="007D77B5">
        <w:rPr>
          <w:rFonts w:eastAsia="Calibri"/>
          <w:lang w:eastAsia="en-US"/>
        </w:rPr>
        <w:t xml:space="preserve"> II</w:t>
      </w:r>
    </w:p>
    <w:p w:rsidR="006549B7" w:rsidRDefault="00BA05AC" w:rsidP="0097059E">
      <w:pPr>
        <w:spacing w:before="120"/>
        <w:ind w:left="284" w:hanging="284"/>
        <w:jc w:val="both"/>
        <w:rPr>
          <w:rFonts w:eastAsia="Calibri"/>
          <w:lang w:eastAsia="en-US"/>
        </w:rPr>
      </w:pPr>
      <w:r w:rsidRPr="007D77B5">
        <w:rPr>
          <w:rFonts w:eastAsia="Calibri"/>
          <w:lang w:eastAsia="en-US"/>
        </w:rPr>
        <w:t>5</w:t>
      </w:r>
      <w:r w:rsidR="0097059E" w:rsidRPr="007D77B5">
        <w:rPr>
          <w:rFonts w:eastAsia="Calibri"/>
          <w:lang w:eastAsia="en-US"/>
        </w:rPr>
        <w:t>)</w:t>
      </w:r>
      <w:r w:rsidR="0097059E" w:rsidRPr="007D77B5">
        <w:rPr>
          <w:rFonts w:eastAsia="Calibri"/>
          <w:lang w:eastAsia="en-US"/>
        </w:rPr>
        <w:tab/>
      </w:r>
      <w:r w:rsidR="0097059E" w:rsidRPr="007D77B5">
        <w:t xml:space="preserve">Mapa wyrobisk Głównej Kluczowej Sztolni Dziedzicznej - </w:t>
      </w:r>
      <w:r w:rsidR="006549B7" w:rsidRPr="007D77B5">
        <w:rPr>
          <w:rFonts w:eastAsia="Calibri"/>
          <w:lang w:eastAsia="en-US"/>
        </w:rPr>
        <w:t>powierzchni z przebiegiem sztolni</w:t>
      </w:r>
    </w:p>
    <w:p w:rsidR="003C626A" w:rsidRDefault="00AE1733" w:rsidP="003C626A">
      <w:pPr>
        <w:spacing w:before="120"/>
        <w:ind w:left="284" w:hanging="284"/>
        <w:jc w:val="both"/>
        <w:rPr>
          <w:bCs/>
          <w:color w:val="000000"/>
        </w:rPr>
      </w:pPr>
      <w:r w:rsidRPr="0075699E">
        <w:rPr>
          <w:rFonts w:eastAsia="Calibri"/>
          <w:lang w:eastAsia="en-US"/>
        </w:rPr>
        <w:t>6)</w:t>
      </w:r>
      <w:r w:rsidR="0075699E">
        <w:rPr>
          <w:rFonts w:eastAsia="Calibri"/>
          <w:lang w:eastAsia="en-US"/>
        </w:rPr>
        <w:tab/>
      </w:r>
      <w:r w:rsidR="003C626A" w:rsidRPr="0055165B">
        <w:rPr>
          <w:bCs/>
          <w:color w:val="000000"/>
        </w:rPr>
        <w:t>Decyzj</w:t>
      </w:r>
      <w:r w:rsidR="003C626A">
        <w:rPr>
          <w:bCs/>
          <w:color w:val="000000"/>
        </w:rPr>
        <w:t xml:space="preserve">a Nr 2528/2016 Śląskiego </w:t>
      </w:r>
      <w:r w:rsidR="003C626A" w:rsidRPr="0055165B">
        <w:rPr>
          <w:bCs/>
          <w:color w:val="000000"/>
        </w:rPr>
        <w:t>Wojewódzkiego Konserwatora Zabytków</w:t>
      </w:r>
      <w:r w:rsidR="003C626A">
        <w:rPr>
          <w:bCs/>
          <w:color w:val="000000"/>
        </w:rPr>
        <w:t xml:space="preserve"> w Katowicach z dnia 14 grudnia 2016 r. .</w:t>
      </w:r>
    </w:p>
    <w:p w:rsidR="003C626A" w:rsidRPr="0055165B" w:rsidRDefault="003C626A" w:rsidP="003C626A">
      <w:pPr>
        <w:spacing w:before="120"/>
        <w:ind w:left="284" w:hanging="284"/>
        <w:jc w:val="both"/>
        <w:rPr>
          <w:rFonts w:eastAsia="Calibri"/>
          <w:lang w:eastAsia="en-US"/>
        </w:rPr>
      </w:pPr>
      <w:r>
        <w:rPr>
          <w:bCs/>
          <w:color w:val="000000"/>
        </w:rPr>
        <w:t>7)</w:t>
      </w:r>
      <w:r>
        <w:rPr>
          <w:bCs/>
          <w:color w:val="000000"/>
        </w:rPr>
        <w:tab/>
      </w:r>
      <w:r w:rsidRPr="0055165B">
        <w:rPr>
          <w:bCs/>
          <w:color w:val="000000"/>
        </w:rPr>
        <w:t xml:space="preserve">Pozwolenia </w:t>
      </w:r>
      <w:r>
        <w:rPr>
          <w:bCs/>
          <w:color w:val="000000"/>
        </w:rPr>
        <w:t xml:space="preserve">Nr 1365/2013 Śląskiego </w:t>
      </w:r>
      <w:r w:rsidRPr="0055165B">
        <w:rPr>
          <w:bCs/>
          <w:color w:val="000000"/>
        </w:rPr>
        <w:t>Wojewódzkiego Konserwatora Zabytków</w:t>
      </w:r>
      <w:r>
        <w:rPr>
          <w:bCs/>
          <w:color w:val="000000"/>
        </w:rPr>
        <w:t xml:space="preserve"> w Katowicach z dnia 22 maja  2013 r. .</w:t>
      </w:r>
    </w:p>
    <w:sectPr w:rsidR="003C626A" w:rsidRPr="0055165B" w:rsidSect="00683CCF">
      <w:headerReference w:type="default" r:id="rId8"/>
      <w:footerReference w:type="default" r:id="rId9"/>
      <w:pgSz w:w="11906" w:h="16838" w:code="9"/>
      <w:pgMar w:top="1962" w:right="1418" w:bottom="1418" w:left="1418" w:header="1134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450D4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981" w:rsidRDefault="005C3981" w:rsidP="008163E5">
      <w:r>
        <w:separator/>
      </w:r>
    </w:p>
  </w:endnote>
  <w:endnote w:type="continuationSeparator" w:id="0">
    <w:p w:rsidR="005C3981" w:rsidRDefault="005C3981" w:rsidP="008163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B7" w:rsidRDefault="006549B7">
    <w:pPr>
      <w:pStyle w:val="Stopka"/>
      <w:jc w:val="right"/>
    </w:pPr>
    <w:r>
      <w:t xml:space="preserve">Strona </w:t>
    </w:r>
    <w:r w:rsidR="001B6E91">
      <w:rPr>
        <w:b/>
        <w:bCs/>
      </w:rPr>
      <w:fldChar w:fldCharType="begin"/>
    </w:r>
    <w:r>
      <w:rPr>
        <w:b/>
        <w:bCs/>
      </w:rPr>
      <w:instrText>PAGE</w:instrText>
    </w:r>
    <w:r w:rsidR="001B6E91">
      <w:rPr>
        <w:b/>
        <w:bCs/>
      </w:rPr>
      <w:fldChar w:fldCharType="separate"/>
    </w:r>
    <w:r w:rsidR="00BC4B0D">
      <w:rPr>
        <w:b/>
        <w:bCs/>
        <w:noProof/>
      </w:rPr>
      <w:t>4</w:t>
    </w:r>
    <w:r w:rsidR="001B6E91">
      <w:rPr>
        <w:b/>
        <w:bCs/>
      </w:rPr>
      <w:fldChar w:fldCharType="end"/>
    </w:r>
    <w:r>
      <w:t xml:space="preserve"> z </w:t>
    </w:r>
    <w:r w:rsidR="001B6E91">
      <w:rPr>
        <w:b/>
        <w:bCs/>
      </w:rPr>
      <w:fldChar w:fldCharType="begin"/>
    </w:r>
    <w:r>
      <w:rPr>
        <w:b/>
        <w:bCs/>
      </w:rPr>
      <w:instrText>NUMPAGES</w:instrText>
    </w:r>
    <w:r w:rsidR="001B6E91">
      <w:rPr>
        <w:b/>
        <w:bCs/>
      </w:rPr>
      <w:fldChar w:fldCharType="separate"/>
    </w:r>
    <w:r w:rsidR="00BC4B0D">
      <w:rPr>
        <w:b/>
        <w:bCs/>
        <w:noProof/>
      </w:rPr>
      <w:t>8</w:t>
    </w:r>
    <w:r w:rsidR="001B6E91">
      <w:rPr>
        <w:b/>
        <w:bCs/>
      </w:rPr>
      <w:fldChar w:fldCharType="end"/>
    </w:r>
  </w:p>
  <w:p w:rsidR="006549B7" w:rsidRDefault="006549B7" w:rsidP="008957C4">
    <w:pPr>
      <w:pStyle w:val="Stopka"/>
      <w:tabs>
        <w:tab w:val="clear" w:pos="4536"/>
        <w:tab w:val="clear" w:pos="9072"/>
        <w:tab w:val="center" w:pos="3969"/>
        <w:tab w:val="right" w:pos="7938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981" w:rsidRDefault="005C3981" w:rsidP="008163E5">
      <w:r>
        <w:separator/>
      </w:r>
    </w:p>
  </w:footnote>
  <w:footnote w:type="continuationSeparator" w:id="0">
    <w:p w:rsidR="005C3981" w:rsidRDefault="005C3981" w:rsidP="008163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B7" w:rsidRDefault="006549B7" w:rsidP="000179EA">
    <w:pPr>
      <w:pStyle w:val="Nagwek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-1015656</wp:posOffset>
          </wp:positionH>
          <wp:positionV relativeFrom="paragraph">
            <wp:posOffset>-1110469</wp:posOffset>
          </wp:positionV>
          <wp:extent cx="7556160" cy="1326629"/>
          <wp:effectExtent l="19050" t="0" r="6690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13298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44380" w:rsidRDefault="00F44380" w:rsidP="00F44380">
    <w:pPr>
      <w:pStyle w:val="Nagwek"/>
      <w:rPr>
        <w:b/>
      </w:rPr>
    </w:pPr>
  </w:p>
  <w:p w:rsidR="00F44380" w:rsidRPr="00F239BA" w:rsidRDefault="00F44380" w:rsidP="00F44380">
    <w:pPr>
      <w:pStyle w:val="Nagwek"/>
      <w:rPr>
        <w:b/>
      </w:rPr>
    </w:pPr>
    <w:r w:rsidRPr="00F239BA">
      <w:rPr>
        <w:b/>
      </w:rPr>
      <w:t>Znak sprawy ZP/</w:t>
    </w:r>
    <w:r>
      <w:rPr>
        <w:b/>
      </w:rPr>
      <w:t>05</w:t>
    </w:r>
    <w:r w:rsidRPr="00F239BA">
      <w:rPr>
        <w:b/>
      </w:rPr>
      <w:t>/MGW/201</w:t>
    </w:r>
    <w:r>
      <w:rPr>
        <w:b/>
      </w:rPr>
      <w:t>8</w:t>
    </w:r>
  </w:p>
  <w:p w:rsidR="006549B7" w:rsidRDefault="006549B7" w:rsidP="00D55DBD">
    <w:pPr>
      <w:pStyle w:val="Nagwek"/>
      <w:ind w:hanging="70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402E"/>
    <w:multiLevelType w:val="hybridMultilevel"/>
    <w:tmpl w:val="E1425E3A"/>
    <w:lvl w:ilvl="0" w:tplc="3176F93C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13138F"/>
    <w:multiLevelType w:val="hybridMultilevel"/>
    <w:tmpl w:val="FAFE9E72"/>
    <w:lvl w:ilvl="0" w:tplc="E9C25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F4168"/>
    <w:multiLevelType w:val="hybridMultilevel"/>
    <w:tmpl w:val="D068C41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470AC0"/>
    <w:multiLevelType w:val="hybridMultilevel"/>
    <w:tmpl w:val="23FE3808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15E77E41"/>
    <w:multiLevelType w:val="hybridMultilevel"/>
    <w:tmpl w:val="C73A9A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200605"/>
    <w:multiLevelType w:val="hybridMultilevel"/>
    <w:tmpl w:val="993E5FD4"/>
    <w:lvl w:ilvl="0" w:tplc="A7E20414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6">
    <w:nsid w:val="254B709F"/>
    <w:multiLevelType w:val="hybridMultilevel"/>
    <w:tmpl w:val="8E88630C"/>
    <w:lvl w:ilvl="0" w:tplc="E9C25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07EB9"/>
    <w:multiLevelType w:val="hybridMultilevel"/>
    <w:tmpl w:val="861EB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99207A"/>
    <w:multiLevelType w:val="hybridMultilevel"/>
    <w:tmpl w:val="90849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A81DBF"/>
    <w:multiLevelType w:val="hybridMultilevel"/>
    <w:tmpl w:val="A58A481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48E6281"/>
    <w:multiLevelType w:val="hybridMultilevel"/>
    <w:tmpl w:val="8BA6C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B66C4"/>
    <w:multiLevelType w:val="hybridMultilevel"/>
    <w:tmpl w:val="678AA2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A0052D0"/>
    <w:multiLevelType w:val="hybridMultilevel"/>
    <w:tmpl w:val="78ACC0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0B088E"/>
    <w:multiLevelType w:val="hybridMultilevel"/>
    <w:tmpl w:val="A372F7A8"/>
    <w:lvl w:ilvl="0" w:tplc="6E182472">
      <w:start w:val="1"/>
      <w:numFmt w:val="decimal"/>
      <w:lvlText w:val="%1)"/>
      <w:lvlJc w:val="left"/>
      <w:pPr>
        <w:ind w:left="1410" w:hanging="6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5080261"/>
    <w:multiLevelType w:val="hybridMultilevel"/>
    <w:tmpl w:val="7B2CC1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A5F8A"/>
    <w:multiLevelType w:val="multilevel"/>
    <w:tmpl w:val="444CA120"/>
    <w:lvl w:ilvl="0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984"/>
      </w:pPr>
      <w:rPr>
        <w:rFonts w:eastAsia="Times New Roman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476" w:hanging="984"/>
      </w:pPr>
      <w:rPr>
        <w:rFonts w:eastAsia="Times New Roman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eastAsia="Times New Roman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eastAsia="Times New Roman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eastAsia="Times New Roman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eastAsia="Times New Roman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eastAsia="Times New Roman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eastAsia="Times New Roman" w:hint="default"/>
        <w:b w:val="0"/>
        <w:sz w:val="24"/>
      </w:rPr>
    </w:lvl>
  </w:abstractNum>
  <w:abstractNum w:abstractNumId="16">
    <w:nsid w:val="522E6944"/>
    <w:multiLevelType w:val="hybridMultilevel"/>
    <w:tmpl w:val="8C3AF196"/>
    <w:lvl w:ilvl="0" w:tplc="35C67302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51713F2"/>
    <w:multiLevelType w:val="hybridMultilevel"/>
    <w:tmpl w:val="B334747E"/>
    <w:lvl w:ilvl="0" w:tplc="E9C25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D96F88"/>
    <w:multiLevelType w:val="hybridMultilevel"/>
    <w:tmpl w:val="1D4E7D3A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>
    <w:nsid w:val="5AB51BF9"/>
    <w:multiLevelType w:val="hybridMultilevel"/>
    <w:tmpl w:val="AE463388"/>
    <w:lvl w:ilvl="0" w:tplc="45A65F62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B9E7519"/>
    <w:multiLevelType w:val="hybridMultilevel"/>
    <w:tmpl w:val="E1620D0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9DAC383C">
      <w:start w:val="1"/>
      <w:numFmt w:val="decimal"/>
      <w:lvlText w:val="%2)"/>
      <w:lvlJc w:val="left"/>
      <w:pPr>
        <w:ind w:left="1925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607C35E0"/>
    <w:multiLevelType w:val="hybridMultilevel"/>
    <w:tmpl w:val="97DA2F7A"/>
    <w:lvl w:ilvl="0" w:tplc="DA801C76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96940AC"/>
    <w:multiLevelType w:val="hybridMultilevel"/>
    <w:tmpl w:val="B60C6C50"/>
    <w:lvl w:ilvl="0" w:tplc="EE6EB0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A093722"/>
    <w:multiLevelType w:val="hybridMultilevel"/>
    <w:tmpl w:val="6CD0F0F0"/>
    <w:lvl w:ilvl="0" w:tplc="BFCEB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511C62"/>
    <w:multiLevelType w:val="hybridMultilevel"/>
    <w:tmpl w:val="6D608490"/>
    <w:lvl w:ilvl="0" w:tplc="67A81F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2A793E"/>
    <w:multiLevelType w:val="hybridMultilevel"/>
    <w:tmpl w:val="5694D3A6"/>
    <w:lvl w:ilvl="0" w:tplc="EE2CBA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87159DF"/>
    <w:multiLevelType w:val="hybridMultilevel"/>
    <w:tmpl w:val="FC308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580177"/>
    <w:multiLevelType w:val="hybridMultilevel"/>
    <w:tmpl w:val="D9F05796"/>
    <w:lvl w:ilvl="0" w:tplc="B8C868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E8041B8"/>
    <w:multiLevelType w:val="multilevel"/>
    <w:tmpl w:val="BD3EA79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8"/>
  </w:num>
  <w:num w:numId="4">
    <w:abstractNumId w:val="27"/>
  </w:num>
  <w:num w:numId="5">
    <w:abstractNumId w:val="23"/>
  </w:num>
  <w:num w:numId="6">
    <w:abstractNumId w:val="4"/>
  </w:num>
  <w:num w:numId="7">
    <w:abstractNumId w:val="22"/>
  </w:num>
  <w:num w:numId="8">
    <w:abstractNumId w:val="9"/>
  </w:num>
  <w:num w:numId="9">
    <w:abstractNumId w:val="14"/>
  </w:num>
  <w:num w:numId="10">
    <w:abstractNumId w:val="25"/>
  </w:num>
  <w:num w:numId="11">
    <w:abstractNumId w:val="5"/>
  </w:num>
  <w:num w:numId="12">
    <w:abstractNumId w:val="1"/>
  </w:num>
  <w:num w:numId="13">
    <w:abstractNumId w:val="6"/>
  </w:num>
  <w:num w:numId="14">
    <w:abstractNumId w:val="15"/>
  </w:num>
  <w:num w:numId="15">
    <w:abstractNumId w:val="18"/>
  </w:num>
  <w:num w:numId="16">
    <w:abstractNumId w:val="13"/>
  </w:num>
  <w:num w:numId="17">
    <w:abstractNumId w:val="3"/>
  </w:num>
  <w:num w:numId="18">
    <w:abstractNumId w:val="21"/>
  </w:num>
  <w:num w:numId="19">
    <w:abstractNumId w:val="16"/>
  </w:num>
  <w:num w:numId="20">
    <w:abstractNumId w:val="28"/>
  </w:num>
  <w:num w:numId="21">
    <w:abstractNumId w:val="10"/>
  </w:num>
  <w:num w:numId="22">
    <w:abstractNumId w:val="26"/>
  </w:num>
  <w:num w:numId="23">
    <w:abstractNumId w:val="7"/>
  </w:num>
  <w:num w:numId="24">
    <w:abstractNumId w:val="11"/>
  </w:num>
  <w:num w:numId="25">
    <w:abstractNumId w:val="20"/>
  </w:num>
  <w:num w:numId="26">
    <w:abstractNumId w:val="12"/>
  </w:num>
  <w:num w:numId="27">
    <w:abstractNumId w:val="2"/>
  </w:num>
  <w:num w:numId="28">
    <w:abstractNumId w:val="24"/>
  </w:num>
  <w:num w:numId="29">
    <w:abstractNumId w:val="17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gdan Oleś">
    <w15:presenceInfo w15:providerId="AD" w15:userId="S-1-5-21-1411273864-2580800888-10624745-490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0128D"/>
    <w:rsid w:val="00000C9B"/>
    <w:rsid w:val="00010022"/>
    <w:rsid w:val="000112D9"/>
    <w:rsid w:val="000179EA"/>
    <w:rsid w:val="00041EC8"/>
    <w:rsid w:val="00060D5C"/>
    <w:rsid w:val="00072197"/>
    <w:rsid w:val="00092845"/>
    <w:rsid w:val="000A02B4"/>
    <w:rsid w:val="000A2E30"/>
    <w:rsid w:val="000D66A4"/>
    <w:rsid w:val="000E5A7E"/>
    <w:rsid w:val="000E6526"/>
    <w:rsid w:val="000E729A"/>
    <w:rsid w:val="000F5372"/>
    <w:rsid w:val="000F53A5"/>
    <w:rsid w:val="00114BC8"/>
    <w:rsid w:val="00116220"/>
    <w:rsid w:val="00123D0B"/>
    <w:rsid w:val="00141C62"/>
    <w:rsid w:val="0014353F"/>
    <w:rsid w:val="00150D09"/>
    <w:rsid w:val="00162E17"/>
    <w:rsid w:val="00164010"/>
    <w:rsid w:val="0016714A"/>
    <w:rsid w:val="00170057"/>
    <w:rsid w:val="001745D5"/>
    <w:rsid w:val="00185DA9"/>
    <w:rsid w:val="001A06C6"/>
    <w:rsid w:val="001A14BF"/>
    <w:rsid w:val="001A2DC1"/>
    <w:rsid w:val="001A4432"/>
    <w:rsid w:val="001A7680"/>
    <w:rsid w:val="001B3F75"/>
    <w:rsid w:val="001B6E91"/>
    <w:rsid w:val="001C421E"/>
    <w:rsid w:val="001E2823"/>
    <w:rsid w:val="001E3FEF"/>
    <w:rsid w:val="00200194"/>
    <w:rsid w:val="00200394"/>
    <w:rsid w:val="00201F48"/>
    <w:rsid w:val="002069DB"/>
    <w:rsid w:val="00210DB7"/>
    <w:rsid w:val="00215297"/>
    <w:rsid w:val="002172E5"/>
    <w:rsid w:val="00217CA3"/>
    <w:rsid w:val="002318AB"/>
    <w:rsid w:val="00233EAE"/>
    <w:rsid w:val="002345B5"/>
    <w:rsid w:val="00236C3C"/>
    <w:rsid w:val="00240F69"/>
    <w:rsid w:val="002574C6"/>
    <w:rsid w:val="00257575"/>
    <w:rsid w:val="00260A7C"/>
    <w:rsid w:val="00260E66"/>
    <w:rsid w:val="002633AB"/>
    <w:rsid w:val="00264F5B"/>
    <w:rsid w:val="00273A53"/>
    <w:rsid w:val="00276DD9"/>
    <w:rsid w:val="002826F1"/>
    <w:rsid w:val="00284201"/>
    <w:rsid w:val="0029612F"/>
    <w:rsid w:val="002969D8"/>
    <w:rsid w:val="002A1D8F"/>
    <w:rsid w:val="002A32A3"/>
    <w:rsid w:val="002B1D99"/>
    <w:rsid w:val="002B3F76"/>
    <w:rsid w:val="002B4C20"/>
    <w:rsid w:val="002B4E03"/>
    <w:rsid w:val="002B4FFE"/>
    <w:rsid w:val="002C2FF6"/>
    <w:rsid w:val="002C47E1"/>
    <w:rsid w:val="002D3336"/>
    <w:rsid w:val="002D7E3E"/>
    <w:rsid w:val="002E4AA5"/>
    <w:rsid w:val="00301E84"/>
    <w:rsid w:val="00314D2C"/>
    <w:rsid w:val="0031546C"/>
    <w:rsid w:val="00317225"/>
    <w:rsid w:val="00320FDE"/>
    <w:rsid w:val="00325ACE"/>
    <w:rsid w:val="00330C8D"/>
    <w:rsid w:val="00331631"/>
    <w:rsid w:val="003327EA"/>
    <w:rsid w:val="0035295A"/>
    <w:rsid w:val="003546B7"/>
    <w:rsid w:val="003648AC"/>
    <w:rsid w:val="00365554"/>
    <w:rsid w:val="00367ABA"/>
    <w:rsid w:val="0037548D"/>
    <w:rsid w:val="003841DB"/>
    <w:rsid w:val="003843DA"/>
    <w:rsid w:val="00397596"/>
    <w:rsid w:val="003A43B6"/>
    <w:rsid w:val="003B7E28"/>
    <w:rsid w:val="003C5B0B"/>
    <w:rsid w:val="003C626A"/>
    <w:rsid w:val="003D02C2"/>
    <w:rsid w:val="00406C25"/>
    <w:rsid w:val="00415711"/>
    <w:rsid w:val="00416019"/>
    <w:rsid w:val="0041617F"/>
    <w:rsid w:val="00424435"/>
    <w:rsid w:val="00427984"/>
    <w:rsid w:val="004331E7"/>
    <w:rsid w:val="004343E7"/>
    <w:rsid w:val="00436280"/>
    <w:rsid w:val="004438F7"/>
    <w:rsid w:val="00443CB3"/>
    <w:rsid w:val="004543DC"/>
    <w:rsid w:val="004555EA"/>
    <w:rsid w:val="00466F82"/>
    <w:rsid w:val="00467611"/>
    <w:rsid w:val="00471028"/>
    <w:rsid w:val="0047643B"/>
    <w:rsid w:val="00483BE3"/>
    <w:rsid w:val="00490DA8"/>
    <w:rsid w:val="00494666"/>
    <w:rsid w:val="00497B42"/>
    <w:rsid w:val="004A1A72"/>
    <w:rsid w:val="004A617C"/>
    <w:rsid w:val="004B425B"/>
    <w:rsid w:val="004C5D4C"/>
    <w:rsid w:val="004D7119"/>
    <w:rsid w:val="004E4427"/>
    <w:rsid w:val="004E760E"/>
    <w:rsid w:val="00514391"/>
    <w:rsid w:val="00520F14"/>
    <w:rsid w:val="005217F1"/>
    <w:rsid w:val="00533A8A"/>
    <w:rsid w:val="00536DF1"/>
    <w:rsid w:val="00537BA9"/>
    <w:rsid w:val="005505D5"/>
    <w:rsid w:val="00565F07"/>
    <w:rsid w:val="00566F33"/>
    <w:rsid w:val="00577E28"/>
    <w:rsid w:val="0059030D"/>
    <w:rsid w:val="005A1F1F"/>
    <w:rsid w:val="005A30B3"/>
    <w:rsid w:val="005A623E"/>
    <w:rsid w:val="005A7502"/>
    <w:rsid w:val="005B5C9B"/>
    <w:rsid w:val="005B6EF7"/>
    <w:rsid w:val="005B7FEF"/>
    <w:rsid w:val="005C3981"/>
    <w:rsid w:val="005D1FAA"/>
    <w:rsid w:val="005D4E5D"/>
    <w:rsid w:val="005E0C0B"/>
    <w:rsid w:val="005F3CA0"/>
    <w:rsid w:val="005F4584"/>
    <w:rsid w:val="00600258"/>
    <w:rsid w:val="006118A1"/>
    <w:rsid w:val="00617901"/>
    <w:rsid w:val="0062176F"/>
    <w:rsid w:val="006218C4"/>
    <w:rsid w:val="00622AAC"/>
    <w:rsid w:val="00630928"/>
    <w:rsid w:val="00631B7C"/>
    <w:rsid w:val="006439BA"/>
    <w:rsid w:val="00650F81"/>
    <w:rsid w:val="006549B7"/>
    <w:rsid w:val="00665745"/>
    <w:rsid w:val="006659CB"/>
    <w:rsid w:val="006742E7"/>
    <w:rsid w:val="0067518B"/>
    <w:rsid w:val="00681782"/>
    <w:rsid w:val="00682E87"/>
    <w:rsid w:val="00683CCF"/>
    <w:rsid w:val="006A4DDC"/>
    <w:rsid w:val="006B2C88"/>
    <w:rsid w:val="006C08A5"/>
    <w:rsid w:val="006C17A4"/>
    <w:rsid w:val="006E2D61"/>
    <w:rsid w:val="006E5716"/>
    <w:rsid w:val="006F3281"/>
    <w:rsid w:val="006F557D"/>
    <w:rsid w:val="0070240A"/>
    <w:rsid w:val="00704EC1"/>
    <w:rsid w:val="00710646"/>
    <w:rsid w:val="00710E23"/>
    <w:rsid w:val="007110BD"/>
    <w:rsid w:val="00714016"/>
    <w:rsid w:val="00735FF6"/>
    <w:rsid w:val="007551AC"/>
    <w:rsid w:val="0075699E"/>
    <w:rsid w:val="007611CB"/>
    <w:rsid w:val="00762FD9"/>
    <w:rsid w:val="007756C9"/>
    <w:rsid w:val="00786C08"/>
    <w:rsid w:val="00786ECC"/>
    <w:rsid w:val="007A5B91"/>
    <w:rsid w:val="007B0179"/>
    <w:rsid w:val="007B4B3A"/>
    <w:rsid w:val="007B61A6"/>
    <w:rsid w:val="007B6983"/>
    <w:rsid w:val="007B6AE3"/>
    <w:rsid w:val="007D4362"/>
    <w:rsid w:val="007D76D1"/>
    <w:rsid w:val="007D77B5"/>
    <w:rsid w:val="007E57CB"/>
    <w:rsid w:val="007F0A07"/>
    <w:rsid w:val="007F5C46"/>
    <w:rsid w:val="00805165"/>
    <w:rsid w:val="008163E5"/>
    <w:rsid w:val="00817BCC"/>
    <w:rsid w:val="00821D0E"/>
    <w:rsid w:val="008253AF"/>
    <w:rsid w:val="00833586"/>
    <w:rsid w:val="0083375B"/>
    <w:rsid w:val="008638B2"/>
    <w:rsid w:val="00863A5B"/>
    <w:rsid w:val="00864184"/>
    <w:rsid w:val="00866F3A"/>
    <w:rsid w:val="008840C8"/>
    <w:rsid w:val="00886B6D"/>
    <w:rsid w:val="008903F7"/>
    <w:rsid w:val="008957C4"/>
    <w:rsid w:val="008A01F2"/>
    <w:rsid w:val="008A1E35"/>
    <w:rsid w:val="008B1704"/>
    <w:rsid w:val="008B19D3"/>
    <w:rsid w:val="008B38E4"/>
    <w:rsid w:val="008B7CF2"/>
    <w:rsid w:val="008C56A6"/>
    <w:rsid w:val="008C7EC2"/>
    <w:rsid w:val="008D1606"/>
    <w:rsid w:val="008D2295"/>
    <w:rsid w:val="008E4E0B"/>
    <w:rsid w:val="008F12DA"/>
    <w:rsid w:val="008F750B"/>
    <w:rsid w:val="00907926"/>
    <w:rsid w:val="00913655"/>
    <w:rsid w:val="009152CB"/>
    <w:rsid w:val="00916B47"/>
    <w:rsid w:val="0091771B"/>
    <w:rsid w:val="009218D2"/>
    <w:rsid w:val="00926305"/>
    <w:rsid w:val="0093347B"/>
    <w:rsid w:val="00936E31"/>
    <w:rsid w:val="009440EE"/>
    <w:rsid w:val="00953D08"/>
    <w:rsid w:val="00955945"/>
    <w:rsid w:val="0097059E"/>
    <w:rsid w:val="00976DFC"/>
    <w:rsid w:val="00984431"/>
    <w:rsid w:val="00996AC2"/>
    <w:rsid w:val="009978A4"/>
    <w:rsid w:val="009B24FD"/>
    <w:rsid w:val="009B5227"/>
    <w:rsid w:val="009C1FBC"/>
    <w:rsid w:val="009C4911"/>
    <w:rsid w:val="009E2550"/>
    <w:rsid w:val="009E641C"/>
    <w:rsid w:val="009E6EC7"/>
    <w:rsid w:val="009F2679"/>
    <w:rsid w:val="00A120D8"/>
    <w:rsid w:val="00A13B69"/>
    <w:rsid w:val="00A30BF4"/>
    <w:rsid w:val="00A3748D"/>
    <w:rsid w:val="00A64C52"/>
    <w:rsid w:val="00A8311D"/>
    <w:rsid w:val="00A84AF0"/>
    <w:rsid w:val="00A9495F"/>
    <w:rsid w:val="00A959C0"/>
    <w:rsid w:val="00A9668C"/>
    <w:rsid w:val="00AA278B"/>
    <w:rsid w:val="00AB321F"/>
    <w:rsid w:val="00AC576E"/>
    <w:rsid w:val="00AD6214"/>
    <w:rsid w:val="00AE1733"/>
    <w:rsid w:val="00AE6F67"/>
    <w:rsid w:val="00AE7E58"/>
    <w:rsid w:val="00AF2DAB"/>
    <w:rsid w:val="00B00EEC"/>
    <w:rsid w:val="00B0128D"/>
    <w:rsid w:val="00B157F8"/>
    <w:rsid w:val="00B1608A"/>
    <w:rsid w:val="00B222EC"/>
    <w:rsid w:val="00B224D5"/>
    <w:rsid w:val="00B37ACC"/>
    <w:rsid w:val="00B5600C"/>
    <w:rsid w:val="00B62A50"/>
    <w:rsid w:val="00B7130B"/>
    <w:rsid w:val="00B72200"/>
    <w:rsid w:val="00B8202E"/>
    <w:rsid w:val="00B84BEC"/>
    <w:rsid w:val="00BA05AC"/>
    <w:rsid w:val="00BA2E26"/>
    <w:rsid w:val="00BA7E90"/>
    <w:rsid w:val="00BB5FDF"/>
    <w:rsid w:val="00BC4B0D"/>
    <w:rsid w:val="00BE57BE"/>
    <w:rsid w:val="00BE583F"/>
    <w:rsid w:val="00BF0942"/>
    <w:rsid w:val="00BF466D"/>
    <w:rsid w:val="00BF60E6"/>
    <w:rsid w:val="00C01827"/>
    <w:rsid w:val="00C115AC"/>
    <w:rsid w:val="00C1651F"/>
    <w:rsid w:val="00C1673A"/>
    <w:rsid w:val="00C16EA1"/>
    <w:rsid w:val="00C275BA"/>
    <w:rsid w:val="00C31199"/>
    <w:rsid w:val="00C31684"/>
    <w:rsid w:val="00C46262"/>
    <w:rsid w:val="00C463DA"/>
    <w:rsid w:val="00C53CC6"/>
    <w:rsid w:val="00C72856"/>
    <w:rsid w:val="00C82364"/>
    <w:rsid w:val="00C82480"/>
    <w:rsid w:val="00C85E5C"/>
    <w:rsid w:val="00C8760D"/>
    <w:rsid w:val="00C90F67"/>
    <w:rsid w:val="00CA6C18"/>
    <w:rsid w:val="00CB16DA"/>
    <w:rsid w:val="00CB43BC"/>
    <w:rsid w:val="00CC107C"/>
    <w:rsid w:val="00CD2046"/>
    <w:rsid w:val="00CD20F3"/>
    <w:rsid w:val="00CD260A"/>
    <w:rsid w:val="00CD3FC3"/>
    <w:rsid w:val="00CE6760"/>
    <w:rsid w:val="00CE792D"/>
    <w:rsid w:val="00CF2283"/>
    <w:rsid w:val="00CF486D"/>
    <w:rsid w:val="00D064EE"/>
    <w:rsid w:val="00D11F5F"/>
    <w:rsid w:val="00D17930"/>
    <w:rsid w:val="00D17E65"/>
    <w:rsid w:val="00D20ECF"/>
    <w:rsid w:val="00D27036"/>
    <w:rsid w:val="00D35142"/>
    <w:rsid w:val="00D36798"/>
    <w:rsid w:val="00D4057C"/>
    <w:rsid w:val="00D45DF1"/>
    <w:rsid w:val="00D516B2"/>
    <w:rsid w:val="00D52ADD"/>
    <w:rsid w:val="00D55DBD"/>
    <w:rsid w:val="00D568D9"/>
    <w:rsid w:val="00D602DC"/>
    <w:rsid w:val="00D62892"/>
    <w:rsid w:val="00D67BDD"/>
    <w:rsid w:val="00D76FDD"/>
    <w:rsid w:val="00D90769"/>
    <w:rsid w:val="00D9711E"/>
    <w:rsid w:val="00DA73E8"/>
    <w:rsid w:val="00DB273C"/>
    <w:rsid w:val="00DB3BA1"/>
    <w:rsid w:val="00DB4D87"/>
    <w:rsid w:val="00DD3C62"/>
    <w:rsid w:val="00DE0004"/>
    <w:rsid w:val="00DE248E"/>
    <w:rsid w:val="00DE60FF"/>
    <w:rsid w:val="00DF3608"/>
    <w:rsid w:val="00E02B61"/>
    <w:rsid w:val="00E02DDC"/>
    <w:rsid w:val="00E05373"/>
    <w:rsid w:val="00E13385"/>
    <w:rsid w:val="00E17A53"/>
    <w:rsid w:val="00E3018E"/>
    <w:rsid w:val="00E458B2"/>
    <w:rsid w:val="00E63829"/>
    <w:rsid w:val="00E66D7C"/>
    <w:rsid w:val="00E85858"/>
    <w:rsid w:val="00E94E86"/>
    <w:rsid w:val="00EA0BCB"/>
    <w:rsid w:val="00EA57B7"/>
    <w:rsid w:val="00EC335C"/>
    <w:rsid w:val="00ED5232"/>
    <w:rsid w:val="00ED6ED4"/>
    <w:rsid w:val="00ED70B2"/>
    <w:rsid w:val="00EF1407"/>
    <w:rsid w:val="00F02F49"/>
    <w:rsid w:val="00F10DC6"/>
    <w:rsid w:val="00F13698"/>
    <w:rsid w:val="00F44380"/>
    <w:rsid w:val="00F5057D"/>
    <w:rsid w:val="00F6153C"/>
    <w:rsid w:val="00F65329"/>
    <w:rsid w:val="00F73CEC"/>
    <w:rsid w:val="00F778F7"/>
    <w:rsid w:val="00F91CA1"/>
    <w:rsid w:val="00F95E28"/>
    <w:rsid w:val="00FA10D6"/>
    <w:rsid w:val="00FA45C1"/>
    <w:rsid w:val="00FB1C2B"/>
    <w:rsid w:val="00FB534C"/>
    <w:rsid w:val="00FC00F0"/>
    <w:rsid w:val="00FC4468"/>
    <w:rsid w:val="00FE1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28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4B3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128D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semiHidden/>
    <w:rsid w:val="0095120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rsid w:val="00B0128D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rsid w:val="0095120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0128D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95120F"/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816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163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63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3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3E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63E5"/>
    <w:rPr>
      <w:rFonts w:ascii="Tahoma" w:hAnsi="Tahoma" w:cs="Tahoma"/>
      <w:sz w:val="16"/>
      <w:szCs w:val="16"/>
    </w:rPr>
  </w:style>
  <w:style w:type="character" w:customStyle="1" w:styleId="FontStyle32">
    <w:name w:val="Font Style32"/>
    <w:uiPriority w:val="99"/>
    <w:rsid w:val="001E3FEF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D36798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rsid w:val="001A14BF"/>
    <w:rPr>
      <w:szCs w:val="20"/>
    </w:rPr>
  </w:style>
  <w:style w:type="paragraph" w:customStyle="1" w:styleId="FR2">
    <w:name w:val="FR2"/>
    <w:rsid w:val="001A14BF"/>
    <w:pPr>
      <w:widowControl w:val="0"/>
      <w:spacing w:line="300" w:lineRule="auto"/>
      <w:ind w:left="840" w:right="600"/>
      <w:jc w:val="center"/>
    </w:pPr>
    <w:rPr>
      <w:b/>
      <w:sz w:val="28"/>
    </w:rPr>
  </w:style>
  <w:style w:type="character" w:customStyle="1" w:styleId="Nagwek1Znak">
    <w:name w:val="Nagłówek 1 Znak"/>
    <w:link w:val="Nagwek1"/>
    <w:rsid w:val="007B4B3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semiHidden/>
    <w:rsid w:val="005505D5"/>
    <w:pPr>
      <w:suppressAutoHyphens/>
    </w:pPr>
    <w:rPr>
      <w:szCs w:val="20"/>
    </w:rPr>
  </w:style>
  <w:style w:type="character" w:customStyle="1" w:styleId="TekstprzypisudolnegoZnak">
    <w:name w:val="Tekst przypisu dolnego Znak"/>
    <w:link w:val="Tekstprzypisudolnego"/>
    <w:semiHidden/>
    <w:rsid w:val="005505D5"/>
    <w:rPr>
      <w:sz w:val="24"/>
    </w:rPr>
  </w:style>
  <w:style w:type="paragraph" w:styleId="Tytu">
    <w:name w:val="Title"/>
    <w:basedOn w:val="Normalny"/>
    <w:next w:val="Podtytu"/>
    <w:link w:val="TytuZnak"/>
    <w:qFormat/>
    <w:rsid w:val="005505D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5505D5"/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05D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5505D5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B01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1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179"/>
  </w:style>
  <w:style w:type="paragraph" w:customStyle="1" w:styleId="Znak">
    <w:name w:val="Znak"/>
    <w:basedOn w:val="Normalny"/>
    <w:rsid w:val="00FC4468"/>
  </w:style>
  <w:style w:type="table" w:styleId="Tabela-Siatka">
    <w:name w:val="Table Grid"/>
    <w:basedOn w:val="Standardowy"/>
    <w:uiPriority w:val="39"/>
    <w:rsid w:val="006549B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1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18A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2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281"/>
  </w:style>
  <w:style w:type="character" w:styleId="Odwoanieprzypisukocowego">
    <w:name w:val="endnote reference"/>
    <w:basedOn w:val="Domylnaczcionkaakapitu"/>
    <w:uiPriority w:val="99"/>
    <w:semiHidden/>
    <w:unhideWhenUsed/>
    <w:rsid w:val="006F3281"/>
    <w:rPr>
      <w:vertAlign w:val="superscript"/>
    </w:rPr>
  </w:style>
  <w:style w:type="paragraph" w:customStyle="1" w:styleId="Tekstpodstawowy31">
    <w:name w:val="Tekst podstawowy 31"/>
    <w:basedOn w:val="Normalny"/>
    <w:rsid w:val="002D3336"/>
    <w:pPr>
      <w:widowControl w:val="0"/>
      <w:suppressAutoHyphens/>
      <w:spacing w:line="360" w:lineRule="auto"/>
      <w:jc w:val="both"/>
    </w:pPr>
    <w:rPr>
      <w:rFonts w:ascii="Arial" w:eastAsia="Lucida Sans Unicode" w:hAnsi="Arial" w:cs="Arial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28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B4B3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0128D"/>
    <w:pPr>
      <w:keepNext/>
      <w:spacing w:line="360" w:lineRule="auto"/>
      <w:jc w:val="center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semiHidden/>
    <w:rsid w:val="0095120F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rsid w:val="00B0128D"/>
    <w:pPr>
      <w:spacing w:line="360" w:lineRule="auto"/>
      <w:ind w:left="1440" w:hanging="360"/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rsid w:val="0095120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0128D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95120F"/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816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163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163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63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3E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63E5"/>
    <w:rPr>
      <w:rFonts w:ascii="Tahoma" w:hAnsi="Tahoma" w:cs="Tahoma"/>
      <w:sz w:val="16"/>
      <w:szCs w:val="16"/>
    </w:rPr>
  </w:style>
  <w:style w:type="character" w:customStyle="1" w:styleId="FontStyle32">
    <w:name w:val="Font Style32"/>
    <w:uiPriority w:val="99"/>
    <w:rsid w:val="001E3FEF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D36798"/>
    <w:pPr>
      <w:ind w:left="708"/>
    </w:pPr>
    <w:rPr>
      <w:sz w:val="20"/>
      <w:szCs w:val="20"/>
    </w:rPr>
  </w:style>
  <w:style w:type="paragraph" w:customStyle="1" w:styleId="Styl1">
    <w:name w:val="Styl1"/>
    <w:basedOn w:val="Normalny"/>
    <w:rsid w:val="001A14BF"/>
    <w:rPr>
      <w:szCs w:val="20"/>
    </w:rPr>
  </w:style>
  <w:style w:type="paragraph" w:customStyle="1" w:styleId="FR2">
    <w:name w:val="FR2"/>
    <w:rsid w:val="001A14BF"/>
    <w:pPr>
      <w:widowControl w:val="0"/>
      <w:spacing w:line="300" w:lineRule="auto"/>
      <w:ind w:left="840" w:right="600"/>
      <w:jc w:val="center"/>
    </w:pPr>
    <w:rPr>
      <w:b/>
      <w:sz w:val="28"/>
    </w:rPr>
  </w:style>
  <w:style w:type="character" w:customStyle="1" w:styleId="Nagwek1Znak">
    <w:name w:val="Nagłówek 1 Znak"/>
    <w:link w:val="Nagwek1"/>
    <w:rsid w:val="007B4B3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semiHidden/>
    <w:rsid w:val="005505D5"/>
    <w:pPr>
      <w:suppressAutoHyphens/>
    </w:pPr>
    <w:rPr>
      <w:szCs w:val="20"/>
    </w:rPr>
  </w:style>
  <w:style w:type="character" w:customStyle="1" w:styleId="TekstprzypisudolnegoZnak">
    <w:name w:val="Tekst przypisu dolnego Znak"/>
    <w:link w:val="Tekstprzypisudolnego"/>
    <w:semiHidden/>
    <w:rsid w:val="005505D5"/>
    <w:rPr>
      <w:sz w:val="24"/>
    </w:rPr>
  </w:style>
  <w:style w:type="paragraph" w:styleId="Tytu">
    <w:name w:val="Title"/>
    <w:basedOn w:val="Normalny"/>
    <w:next w:val="Podtytu"/>
    <w:link w:val="TytuZnak"/>
    <w:qFormat/>
    <w:rsid w:val="005505D5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5505D5"/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05D5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5505D5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B01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01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0179"/>
  </w:style>
  <w:style w:type="paragraph" w:customStyle="1" w:styleId="Znak">
    <w:name w:val="Znak"/>
    <w:basedOn w:val="Normalny"/>
    <w:rsid w:val="00FC4468"/>
  </w:style>
  <w:style w:type="table" w:styleId="Tabela-Siatka">
    <w:name w:val="Table Grid"/>
    <w:basedOn w:val="Standardowy"/>
    <w:uiPriority w:val="39"/>
    <w:rsid w:val="006549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18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18A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2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281"/>
  </w:style>
  <w:style w:type="character" w:styleId="Odwoanieprzypisukocowego">
    <w:name w:val="endnote reference"/>
    <w:basedOn w:val="Domylnaczcionkaakapitu"/>
    <w:uiPriority w:val="99"/>
    <w:semiHidden/>
    <w:unhideWhenUsed/>
    <w:rsid w:val="006F3281"/>
    <w:rPr>
      <w:vertAlign w:val="superscript"/>
    </w:rPr>
  </w:style>
  <w:style w:type="paragraph" w:customStyle="1" w:styleId="Tekstpodstawowy31">
    <w:name w:val="Tekst podstawowy 31"/>
    <w:basedOn w:val="Normalny"/>
    <w:rsid w:val="002D3336"/>
    <w:pPr>
      <w:widowControl w:val="0"/>
      <w:suppressAutoHyphens/>
      <w:spacing w:line="360" w:lineRule="auto"/>
      <w:jc w:val="both"/>
    </w:pPr>
    <w:rPr>
      <w:rFonts w:ascii="Arial" w:eastAsia="Lucida Sans Unicode" w:hAnsi="Arial" w:cs="Arial"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431F1-F226-41AE-80CD-2510ABE1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2472</Words>
  <Characters>14836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</vt:lpstr>
    </vt:vector>
  </TitlesOfParts>
  <Company>HP</Company>
  <LinksUpToDate>false</LinksUpToDate>
  <CharactersWithSpaces>17274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</dc:title>
  <dc:creator>Praktyk</dc:creator>
  <cp:lastModifiedBy>a</cp:lastModifiedBy>
  <cp:revision>5</cp:revision>
  <cp:lastPrinted>2018-03-09T10:07:00Z</cp:lastPrinted>
  <dcterms:created xsi:type="dcterms:W3CDTF">2018-03-09T12:20:00Z</dcterms:created>
  <dcterms:modified xsi:type="dcterms:W3CDTF">2018-03-12T09:50:00Z</dcterms:modified>
</cp:coreProperties>
</file>