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7" w:rsidRDefault="00C22B27" w:rsidP="00B460B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bookmarkStart w:id="0" w:name="_GoBack"/>
      <w:bookmarkEnd w:id="0"/>
    </w:p>
    <w:p w:rsidR="00B460BF" w:rsidRPr="00666A57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66A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CF18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9B64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5/MGW/2019</w:t>
      </w:r>
      <w:r w:rsidRPr="00666A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460BF" w:rsidRDefault="005A013D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6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unieważnieniu postępowania</w:t>
      </w:r>
    </w:p>
    <w:p w:rsidR="009B6420" w:rsidRPr="00375342" w:rsidRDefault="009B6420" w:rsidP="009B6420">
      <w:pPr>
        <w:pStyle w:val="Zwykytekst"/>
        <w:rPr>
          <w:rFonts w:ascii="Arial" w:hAnsi="Arial" w:cs="Arial"/>
          <w:b/>
          <w:sz w:val="18"/>
          <w:szCs w:val="18"/>
        </w:rPr>
      </w:pPr>
      <w:r w:rsidRPr="00375342">
        <w:rPr>
          <w:rFonts w:ascii="Arial" w:hAnsi="Arial" w:cs="Arial"/>
          <w:b/>
          <w:bCs/>
          <w:sz w:val="18"/>
          <w:szCs w:val="18"/>
        </w:rPr>
        <w:t xml:space="preserve">Część 2 . – </w:t>
      </w:r>
      <w:r w:rsidRPr="00375342">
        <w:rPr>
          <w:rFonts w:ascii="Arial" w:hAnsi="Arial" w:cs="Arial"/>
          <w:b/>
          <w:i/>
          <w:sz w:val="18"/>
          <w:szCs w:val="18"/>
        </w:rPr>
        <w:t xml:space="preserve"> </w:t>
      </w:r>
      <w:r w:rsidRPr="00375342">
        <w:rPr>
          <w:rFonts w:ascii="Arial" w:hAnsi="Arial" w:cs="Arial"/>
          <w:b/>
          <w:sz w:val="18"/>
          <w:szCs w:val="18"/>
        </w:rPr>
        <w:t xml:space="preserve">Kontrole i badania obejmują: liny wyciągowe, koła linowe, wały główne maszyn wyciągowych, układy dźwigni hamulcowych, urządzenia ciśnieniowe, urządzenia transportowe specjalne – kolejki podwieszane produkcji Becker </w:t>
      </w:r>
      <w:proofErr w:type="spellStart"/>
      <w:r w:rsidRPr="00375342">
        <w:rPr>
          <w:rFonts w:ascii="Arial" w:hAnsi="Arial" w:cs="Arial"/>
          <w:b/>
          <w:sz w:val="18"/>
          <w:szCs w:val="18"/>
        </w:rPr>
        <w:t>Warkop</w:t>
      </w:r>
      <w:proofErr w:type="spellEnd"/>
      <w:r w:rsidRPr="00375342">
        <w:rPr>
          <w:rFonts w:ascii="Arial" w:hAnsi="Arial" w:cs="Arial"/>
          <w:b/>
          <w:sz w:val="18"/>
          <w:szCs w:val="18"/>
        </w:rPr>
        <w:t xml:space="preserve"> i urządzenia dźwignicowe GEDA SH 200  i GS-2.</w:t>
      </w:r>
    </w:p>
    <w:p w:rsidR="009B6420" w:rsidRPr="00D366FE" w:rsidRDefault="009B6420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1) Zamawiający:</w:t>
      </w:r>
    </w:p>
    <w:p w:rsidR="00B460BF" w:rsidRPr="002A21CB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a) pełna nazwa zamawiającego: Muzeum Górnictwa Węglowego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b) REGON: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|__2_|_4__|__3_|_2__|__2_|_0__|_4__|_2 _|_0 _|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c) kod, miejscowość, województwo, powiat: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41 – 800 Zabrze, śląskie, Zabrze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d) ulica, nr domu, nr lokalu: Jodłowa 59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e) internet: </w:t>
      </w:r>
      <w:hyperlink r:id="rId8" w:history="1">
        <w:r w:rsidRPr="002A21C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pl-PL"/>
          </w:rPr>
          <w:t>www.muzeumgornictwa.pl</w:t>
        </w:r>
      </w:hyperlink>
      <w:r w:rsidRPr="002A21CB">
        <w:rPr>
          <w:rFonts w:ascii="Arial" w:eastAsia="Times New Roman" w:hAnsi="Arial" w:cs="Arial"/>
          <w:sz w:val="18"/>
          <w:szCs w:val="18"/>
          <w:lang w:val="de-DE" w:eastAsia="pl-PL"/>
        </w:rPr>
        <w:tab/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  <w:t>e-mail: biuro@muzeumgornictwa.pl</w:t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</w:pP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f) 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</w:t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>tel.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 (032) 630 30 91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proofErr w:type="spellStart"/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>faks</w:t>
      </w:r>
      <w:proofErr w:type="spellEnd"/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(032) 277 11 25</w:t>
      </w:r>
    </w:p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c>
          <w:tcPr>
            <w:tcW w:w="9469" w:type="dxa"/>
          </w:tcPr>
          <w:p w:rsidR="00945EC6" w:rsidRPr="00D366FE" w:rsidRDefault="00B460BF" w:rsidP="00D366FE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2) Tryb i nazwa postępowania: </w:t>
            </w:r>
          </w:p>
          <w:p w:rsidR="002A46F0" w:rsidRDefault="00B460BF" w:rsidP="002A46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2A21CB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2A21CB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2A21CB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2A21CB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2A21CB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F6897" w:rsidRPr="002A21CB">
              <w:rPr>
                <w:rFonts w:ascii="Arial" w:hAnsi="Arial" w:cs="Arial"/>
                <w:sz w:val="18"/>
                <w:szCs w:val="18"/>
              </w:rPr>
              <w:t xml:space="preserve">.: </w:t>
            </w:r>
          </w:p>
          <w:p w:rsidR="000C17F1" w:rsidRPr="000C17F1" w:rsidRDefault="000C17F1" w:rsidP="000C17F1">
            <w:pPr>
              <w:pStyle w:val="Zwykytek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99148512"/>
            <w:r w:rsidRPr="000C17F1">
              <w:rPr>
                <w:rFonts w:ascii="Arial" w:hAnsi="Arial" w:cs="Arial"/>
                <w:b/>
                <w:sz w:val="18"/>
                <w:szCs w:val="18"/>
              </w:rPr>
              <w:t xml:space="preserve">Kontrole i badania: elementów górniczych wyciągów szybowych szybów „Kolejowy”, „Guido” i </w:t>
            </w:r>
            <w:proofErr w:type="spellStart"/>
            <w:r w:rsidRPr="000C17F1">
              <w:rPr>
                <w:rFonts w:ascii="Arial" w:hAnsi="Arial" w:cs="Arial"/>
                <w:b/>
                <w:sz w:val="18"/>
                <w:szCs w:val="18"/>
              </w:rPr>
              <w:t>szybika</w:t>
            </w:r>
            <w:proofErr w:type="spellEnd"/>
            <w:r w:rsidRPr="000C17F1">
              <w:rPr>
                <w:rFonts w:ascii="Arial" w:hAnsi="Arial" w:cs="Arial"/>
                <w:b/>
                <w:sz w:val="18"/>
                <w:szCs w:val="18"/>
              </w:rPr>
              <w:t xml:space="preserve"> „Guido”, urządzenia transportu specjalnego w szybie „Wilhelmina”,</w:t>
            </w:r>
            <w:r w:rsidRPr="000C17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w diagonali transportowej z powierzchni w rejonie</w:t>
            </w:r>
            <w:r w:rsidRPr="000C17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17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szybu „</w:t>
            </w:r>
            <w:proofErr w:type="spellStart"/>
            <w:r w:rsidRPr="000C17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Carnall</w:t>
            </w:r>
            <w:proofErr w:type="spellEnd"/>
            <w:r w:rsidRPr="000C17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” do wyrobisk Głównej Kluczowej Sztolni </w:t>
            </w:r>
          </w:p>
          <w:p w:rsidR="000C17F1" w:rsidRDefault="000C17F1" w:rsidP="000C17F1">
            <w:pPr>
              <w:tabs>
                <w:tab w:val="left" w:pos="142"/>
              </w:tabs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17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Dziedzicznej  i na poziomie 320 m w ZKWK  „Guido” , </w:t>
            </w:r>
            <w:r w:rsidRPr="000C17F1">
              <w:rPr>
                <w:rFonts w:ascii="Arial" w:hAnsi="Arial" w:cs="Arial"/>
                <w:b/>
                <w:sz w:val="18"/>
                <w:szCs w:val="18"/>
              </w:rPr>
              <w:t>urządzeń, zabezpieczeń osprzętu  i  rozdzielń elektrycznych, na terenie ZKWK „Guido”  przypadające od 1 kwietnia 2019 roku do 31 marca 2020 roku zgodnie z zaleceniami ujętymi w Rozporządzeniu Ministra Energii z 23. 11. 2016 r. w sprawie szczegółowych wymagań dotyczących prowadzenia ruchu podziemnych zakładów górniczych (Dz. U. z 2017 r. poz. 1118).</w:t>
            </w:r>
          </w:p>
          <w:p w:rsidR="000C17F1" w:rsidRPr="00E02004" w:rsidRDefault="000C17F1" w:rsidP="000C17F1">
            <w:pPr>
              <w:pStyle w:val="Zwykytek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Część 2.  -   </w:t>
            </w:r>
            <w:r w:rsidRPr="00E02004">
              <w:rPr>
                <w:rFonts w:ascii="Arial" w:hAnsi="Arial" w:cs="Arial"/>
                <w:i/>
              </w:rPr>
              <w:t xml:space="preserve">Kontrole i badania obejmują: liny wyciągowe, koła linowe, wały główne maszyn </w:t>
            </w:r>
          </w:p>
          <w:p w:rsidR="000C17F1" w:rsidRDefault="000C17F1" w:rsidP="000C17F1">
            <w:pPr>
              <w:pStyle w:val="Zwykytekst"/>
              <w:rPr>
                <w:rFonts w:ascii="Arial" w:hAnsi="Arial" w:cs="Arial"/>
                <w:i/>
              </w:rPr>
            </w:pPr>
            <w:r w:rsidRPr="00E02004">
              <w:rPr>
                <w:rFonts w:ascii="Arial" w:hAnsi="Arial" w:cs="Arial"/>
                <w:i/>
              </w:rPr>
              <w:t>wyciągowych, układy dźwigni hamulcowyc</w:t>
            </w:r>
            <w:r>
              <w:rPr>
                <w:rFonts w:ascii="Arial" w:hAnsi="Arial" w:cs="Arial"/>
                <w:i/>
              </w:rPr>
              <w:t xml:space="preserve">h, urządzenia ciśnieniowe, </w:t>
            </w:r>
            <w:r w:rsidRPr="00E02004">
              <w:rPr>
                <w:rFonts w:ascii="Arial" w:hAnsi="Arial" w:cs="Arial"/>
                <w:i/>
              </w:rPr>
              <w:t>urządzenia transportowe specjalne – kolejki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02004">
              <w:rPr>
                <w:rFonts w:ascii="Arial" w:hAnsi="Arial" w:cs="Arial"/>
                <w:i/>
              </w:rPr>
              <w:t xml:space="preserve">podwieszane produkcji Becker </w:t>
            </w:r>
            <w:proofErr w:type="spellStart"/>
            <w:r w:rsidRPr="00E02004">
              <w:rPr>
                <w:rFonts w:ascii="Arial" w:hAnsi="Arial" w:cs="Arial"/>
                <w:i/>
              </w:rPr>
              <w:t>Warkop</w:t>
            </w:r>
            <w:proofErr w:type="spellEnd"/>
            <w:r w:rsidRPr="00E0200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02004">
              <w:rPr>
                <w:rFonts w:ascii="Arial" w:hAnsi="Arial" w:cs="Arial"/>
                <w:i/>
              </w:rPr>
              <w:t xml:space="preserve">i urządzenia dźwignicowe </w:t>
            </w:r>
            <w:r>
              <w:rPr>
                <w:rFonts w:ascii="Arial" w:hAnsi="Arial" w:cs="Arial"/>
                <w:i/>
              </w:rPr>
              <w:t xml:space="preserve">GEDA SH 200 </w:t>
            </w:r>
            <w:r w:rsidRPr="00E02004">
              <w:rPr>
                <w:rFonts w:ascii="Arial" w:hAnsi="Arial" w:cs="Arial"/>
                <w:i/>
              </w:rPr>
              <w:t xml:space="preserve"> i GS-2.</w:t>
            </w:r>
          </w:p>
          <w:p w:rsidR="000C17F1" w:rsidRPr="000C17F1" w:rsidRDefault="000C17F1" w:rsidP="000C17F1">
            <w:pPr>
              <w:pStyle w:val="Zwykytekst"/>
              <w:rPr>
                <w:rFonts w:ascii="Arial" w:hAnsi="Arial" w:cs="Arial"/>
                <w:i/>
              </w:rPr>
            </w:pPr>
          </w:p>
          <w:bookmarkEnd w:id="1"/>
          <w:p w:rsidR="00B460BF" w:rsidRPr="002A21CB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</w:t>
            </w:r>
            <w:r w:rsidRPr="000C17F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niepotrzebna skreślić</w:t>
            </w:r>
          </w:p>
        </w:tc>
      </w:tr>
    </w:tbl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c>
          <w:tcPr>
            <w:tcW w:w="9469" w:type="dxa"/>
          </w:tcPr>
          <w:p w:rsidR="00B460BF" w:rsidRPr="002A21CB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3) Nazwa (firma), siedziba i adres wykonawcy, którego ofertę wybrano:</w:t>
            </w:r>
          </w:p>
          <w:p w:rsidR="009B6420" w:rsidRDefault="009B6420" w:rsidP="009B642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B6420" w:rsidRDefault="009B6420" w:rsidP="009B642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---------------------------------------------------------</w:t>
            </w:r>
          </w:p>
          <w:p w:rsidR="00945EC6" w:rsidRPr="002A21CB" w:rsidRDefault="009B6420" w:rsidP="009B642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</w:tc>
      </w:tr>
    </w:tbl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rPr>
          <w:trHeight w:val="852"/>
        </w:trPr>
        <w:tc>
          <w:tcPr>
            <w:tcW w:w="9469" w:type="dxa"/>
          </w:tcPr>
          <w:p w:rsidR="00B460BF" w:rsidRDefault="005A013D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4) Uzasadnienie wyboru oferty/ unieważnienia postępowania</w:t>
            </w:r>
          </w:p>
          <w:p w:rsidR="00A702BD" w:rsidRPr="002A21CB" w:rsidRDefault="00A702BD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A013D" w:rsidRDefault="005A013D" w:rsidP="002A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Uzasadnienie prawne:</w:t>
            </w:r>
          </w:p>
          <w:p w:rsidR="00D366FE" w:rsidRDefault="00D366FE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:rsidR="005A013D" w:rsidRPr="002A21CB" w:rsidRDefault="005A013D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Zamawiający informuje, iż przedmiotowe postępowanie zostało unieważnione na</w:t>
            </w:r>
            <w:r w:rsidR="00945EC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podstawie art. 93 ust. 1 pkt. 4</w:t>
            </w: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="00DA5E73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br/>
            </w: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ww. ustawy :</w:t>
            </w:r>
          </w:p>
          <w:p w:rsidR="00945EC6" w:rsidRPr="00945EC6" w:rsidRDefault="005A013D" w:rsidP="00945E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45EC6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„</w:t>
            </w:r>
            <w:r w:rsidRPr="00945EC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Zamawiający unieważnia postępowanie o udzielenie zamówienia </w:t>
            </w:r>
            <w:r w:rsidRPr="00DA5E73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pl-PL"/>
              </w:rPr>
              <w:t xml:space="preserve">jeżeli </w:t>
            </w:r>
            <w:r w:rsidR="00945EC6" w:rsidRPr="00DA5E73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cena najkorzystniejszej oferty lub oferta z najniższą ceną przewyższa kwotę, którą zamawiający zamierza przeznaczyć na sfinansowanie zamówienia</w:t>
            </w:r>
            <w:r w:rsidR="00945EC6" w:rsidRPr="00945EC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chyba, że zamawiający może zwiększyć tę kwotę do ceny najkorzystniejszej oferty.</w:t>
            </w:r>
          </w:p>
          <w:p w:rsidR="00A702BD" w:rsidRPr="002A21CB" w:rsidRDefault="00A702BD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5A013D" w:rsidRDefault="005A013D" w:rsidP="002A21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Uzasadnienie faktyczne:</w:t>
            </w:r>
          </w:p>
          <w:p w:rsidR="00945EC6" w:rsidRPr="002A21CB" w:rsidRDefault="00945EC6" w:rsidP="002A21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  <w:p w:rsidR="00B460BF" w:rsidRDefault="00945EC6" w:rsidP="00E1564B">
            <w:pPr>
              <w:spacing w:after="0" w:line="240" w:lineRule="auto"/>
              <w:ind w:right="6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Zamawiający</w:t>
            </w:r>
            <w:r w:rsidR="009B6420">
              <w:rPr>
                <w:rFonts w:ascii="Arial" w:hAnsi="Arial" w:cs="Arial"/>
                <w:iCs/>
                <w:sz w:val="18"/>
                <w:szCs w:val="18"/>
              </w:rPr>
              <w:t xml:space="preserve"> zamierzał przeznaczyć na realizację zamówienia kwotę 114 277,97 zł. Oferta Wykonawcy została złożona na kwotę 138 700,85 zł. Zamawiający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nie może zwiększyć kwoty jaką zamierzał przeznaczyć na realizację przedmiotowego postępowania</w:t>
            </w:r>
            <w:r w:rsidR="00D366FE">
              <w:rPr>
                <w:rFonts w:ascii="Arial" w:hAnsi="Arial" w:cs="Arial"/>
                <w:iCs/>
                <w:sz w:val="18"/>
                <w:szCs w:val="18"/>
              </w:rPr>
              <w:t xml:space="preserve"> do kwoty oferty z najniższą ceną</w:t>
            </w:r>
            <w:r w:rsidR="00DA5E7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:rsidR="00945EC6" w:rsidRPr="002A21CB" w:rsidRDefault="00945EC6" w:rsidP="00E1564B">
            <w:pPr>
              <w:spacing w:after="0" w:line="240" w:lineRule="auto"/>
              <w:ind w:right="6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9B6420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</w:t>
      </w: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6420" w:rsidRDefault="009B6420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2A21CB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5A013D" w:rsidRDefault="00B460BF" w:rsidP="005A0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5) Nazwy (firmy i adresy Wykonawców, którzy złożyli oferty:</w:t>
            </w:r>
          </w:p>
          <w:p w:rsidR="00D366FE" w:rsidRPr="002A21CB" w:rsidRDefault="00D366FE" w:rsidP="005A0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9B6420" w:rsidRDefault="009B6420" w:rsidP="009B6420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Ośrodek Pomiarów i Automatyki S.A</w:t>
            </w:r>
          </w:p>
          <w:p w:rsidR="009B6420" w:rsidRDefault="009B6420" w:rsidP="009B6420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ul. Hagera 14a</w:t>
            </w:r>
          </w:p>
          <w:p w:rsidR="009B6420" w:rsidRDefault="009B6420" w:rsidP="009B6420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41 – 800 Zabrze</w:t>
            </w:r>
          </w:p>
          <w:p w:rsidR="009B6420" w:rsidRDefault="009B6420" w:rsidP="009B6420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B6420" w:rsidRDefault="009B6420" w:rsidP="009B6420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Centrum Badań i Dozoru Górnictwa Podziemnego Sp. z o.o.</w:t>
            </w:r>
          </w:p>
          <w:p w:rsidR="009B6420" w:rsidRDefault="009B6420" w:rsidP="009B6420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ul. Lędzińska 8</w:t>
            </w:r>
          </w:p>
          <w:p w:rsidR="009B6420" w:rsidRDefault="009B6420" w:rsidP="009B6420">
            <w:pPr>
              <w:pStyle w:val="Akapitzlist"/>
              <w:keepNext/>
              <w:framePr w:hSpace="141" w:wrap="around" w:vAnchor="text" w:hAnchor="page" w:x="1981" w:y="193"/>
              <w:widowControl w:val="0"/>
              <w:suppressAutoHyphens/>
              <w:spacing w:after="0" w:line="240" w:lineRule="auto"/>
              <w:ind w:left="0"/>
              <w:suppressOverlap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43 – 143 Lędziny</w:t>
            </w:r>
          </w:p>
          <w:p w:rsidR="009B6420" w:rsidRDefault="009B6420" w:rsidP="009B6420">
            <w:pPr>
              <w:pStyle w:val="Akapitzlist"/>
              <w:keepNext/>
              <w:framePr w:hSpace="141" w:wrap="around" w:vAnchor="text" w:hAnchor="page" w:x="1981" w:y="193"/>
              <w:widowControl w:val="0"/>
              <w:suppressAutoHyphens/>
              <w:spacing w:after="0" w:line="240" w:lineRule="auto"/>
              <w:ind w:left="0"/>
              <w:suppressOverlap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B6420" w:rsidRDefault="009B6420" w:rsidP="009B6420">
            <w:pPr>
              <w:pStyle w:val="Akapitzlist"/>
              <w:keepNext/>
              <w:framePr w:hSpace="141" w:wrap="around" w:vAnchor="text" w:hAnchor="page" w:x="1981" w:y="193"/>
              <w:widowControl w:val="0"/>
              <w:suppressAutoHyphens/>
              <w:spacing w:after="0" w:line="240" w:lineRule="auto"/>
              <w:ind w:left="0"/>
              <w:suppressOverlap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Rudpol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–OPA Sp. z o.o.</w:t>
            </w:r>
          </w:p>
          <w:p w:rsidR="009B6420" w:rsidRDefault="009B6420" w:rsidP="009B6420">
            <w:pPr>
              <w:pStyle w:val="Akapitzlist"/>
              <w:keepNext/>
              <w:framePr w:hSpace="141" w:wrap="around" w:vAnchor="text" w:hAnchor="page" w:x="1981" w:y="193"/>
              <w:widowControl w:val="0"/>
              <w:suppressAutoHyphens/>
              <w:spacing w:after="0" w:line="240" w:lineRule="auto"/>
              <w:ind w:left="0"/>
              <w:suppressOverlap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ul. Szyb Walenty 50</w:t>
            </w:r>
          </w:p>
          <w:p w:rsidR="005A013D" w:rsidRPr="009B6420" w:rsidRDefault="009B6420" w:rsidP="009B642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9B6420">
              <w:rPr>
                <w:rFonts w:ascii="Arial" w:hAnsi="Arial" w:cs="Arial"/>
                <w:b/>
                <w:iCs/>
                <w:sz w:val="18"/>
                <w:szCs w:val="18"/>
              </w:rPr>
              <w:t>41- 701 Ruda Śląska</w:t>
            </w:r>
          </w:p>
        </w:tc>
      </w:tr>
    </w:tbl>
    <w:p w:rsidR="00B460BF" w:rsidRPr="002A21CB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</w:p>
    <w:tbl>
      <w:tblPr>
        <w:tblW w:w="94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28"/>
        <w:gridCol w:w="3368"/>
        <w:gridCol w:w="2552"/>
        <w:gridCol w:w="1880"/>
        <w:gridCol w:w="18"/>
      </w:tblGrid>
      <w:tr w:rsidR="00B460BF" w:rsidRPr="002A21CB" w:rsidTr="002A21CB">
        <w:trPr>
          <w:gridAfter w:val="1"/>
          <w:wAfter w:w="18" w:type="dxa"/>
        </w:trPr>
        <w:tc>
          <w:tcPr>
            <w:tcW w:w="541" w:type="dxa"/>
            <w:shd w:val="clear" w:color="auto" w:fill="F2F2F2"/>
          </w:tcPr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8928" w:type="dxa"/>
            <w:gridSpan w:val="4"/>
            <w:shd w:val="clear" w:color="auto" w:fill="F2F2F2"/>
          </w:tcPr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Streszczenie oceny i porównania złożonych ofert zawierające punktację przyznaną ofertom w każdym kryterium oceny ofert i łączną punktację</w:t>
            </w:r>
          </w:p>
        </w:tc>
      </w:tr>
      <w:tr w:rsidR="00A24DB7" w:rsidRPr="002A21CB" w:rsidTr="002A46F0">
        <w:tblPrEx>
          <w:jc w:val="center"/>
          <w:tblInd w:w="0" w:type="dxa"/>
        </w:tblPrEx>
        <w:trPr>
          <w:trHeight w:hRule="exact" w:val="639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DF1D38" w:rsidRDefault="00DF1D38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1CB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2A21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– 60  % (max. 60 pkt)</w:t>
            </w: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F1D38" w:rsidRDefault="00DF1D38" w:rsidP="002A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24DB7" w:rsidRPr="002A21CB" w:rsidRDefault="009B6420" w:rsidP="002A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Termin realizacji zleceń szczegółowych</w:t>
            </w:r>
            <w:r w:rsidR="002A46F0"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A24DB7"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DF1D38" w:rsidRDefault="00DF1D38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A24DB7" w:rsidRPr="002A21CB" w:rsidTr="002A21CB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21C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24DB7" w:rsidRPr="002A21CB" w:rsidRDefault="005A013D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2552" w:type="dxa"/>
            <w:shd w:val="clear" w:color="auto" w:fill="auto"/>
          </w:tcPr>
          <w:p w:rsidR="00A24DB7" w:rsidRPr="002A21CB" w:rsidRDefault="005A013D" w:rsidP="005A0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971764" w:rsidRPr="002A21CB" w:rsidRDefault="005A013D" w:rsidP="00971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</w:tr>
    </w:tbl>
    <w:p w:rsidR="00A24DB7" w:rsidRPr="002A21CB" w:rsidRDefault="00A24DB7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460BF" w:rsidRPr="002A21CB" w:rsidRDefault="00B460BF" w:rsidP="00F827F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Data wysł</w:t>
      </w:r>
      <w:r w:rsidR="00D366FE">
        <w:rPr>
          <w:rFonts w:ascii="Arial" w:eastAsia="Times New Roman" w:hAnsi="Arial" w:cs="Arial"/>
          <w:b/>
          <w:sz w:val="18"/>
          <w:szCs w:val="18"/>
          <w:lang w:eastAsia="pl-PL"/>
        </w:rPr>
        <w:t>ania informacji o unieważnieniu postępowania</w:t>
      </w: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– </w:t>
      </w:r>
      <w:r w:rsidR="00375342">
        <w:rPr>
          <w:rFonts w:ascii="Arial" w:eastAsia="Times New Roman" w:hAnsi="Arial" w:cs="Arial"/>
          <w:b/>
          <w:sz w:val="18"/>
          <w:szCs w:val="18"/>
          <w:lang w:eastAsia="pl-PL"/>
        </w:rPr>
        <w:t>04.03</w:t>
      </w:r>
      <w:r w:rsidR="009B6420">
        <w:rPr>
          <w:rFonts w:ascii="Arial" w:eastAsia="Times New Roman" w:hAnsi="Arial" w:cs="Arial"/>
          <w:b/>
          <w:sz w:val="18"/>
          <w:szCs w:val="18"/>
          <w:lang w:eastAsia="pl-PL"/>
        </w:rPr>
        <w:t>.2019</w:t>
      </w:r>
      <w:r w:rsidR="00F827F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0BF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F827FE" w:rsidRPr="001F6897" w:rsidRDefault="00F827FE" w:rsidP="00B460BF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B0368">
        <w:rPr>
          <w:rFonts w:ascii="Arial" w:hAnsi="Arial" w:cs="Arial"/>
          <w:bCs/>
          <w:sz w:val="18"/>
          <w:szCs w:val="18"/>
        </w:rPr>
        <w:t>Zatwierdzam</w:t>
      </w:r>
    </w:p>
    <w:p w:rsidR="00FB0368" w:rsidRP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Dyrektor: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FB036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BA" w:rsidRDefault="00FD17BA" w:rsidP="0076796D">
      <w:pPr>
        <w:spacing w:after="0" w:line="240" w:lineRule="auto"/>
      </w:pPr>
      <w:r>
        <w:separator/>
      </w:r>
    </w:p>
  </w:endnote>
  <w:endnote w:type="continuationSeparator" w:id="0">
    <w:p w:rsidR="00FD17BA" w:rsidRDefault="00FD17BA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BA" w:rsidRDefault="00FD17BA" w:rsidP="0076796D">
      <w:pPr>
        <w:spacing w:after="0" w:line="240" w:lineRule="auto"/>
      </w:pPr>
      <w:r>
        <w:separator/>
      </w:r>
    </w:p>
  </w:footnote>
  <w:footnote w:type="continuationSeparator" w:id="0">
    <w:p w:rsidR="00FD17BA" w:rsidRDefault="00FD17BA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12F"/>
    <w:multiLevelType w:val="hybridMultilevel"/>
    <w:tmpl w:val="62E451C8"/>
    <w:lvl w:ilvl="0" w:tplc="112C3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12C3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24E08"/>
    <w:multiLevelType w:val="hybridMultilevel"/>
    <w:tmpl w:val="2A5C52FC"/>
    <w:lvl w:ilvl="0" w:tplc="3674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14B10"/>
    <w:multiLevelType w:val="hybridMultilevel"/>
    <w:tmpl w:val="DE0A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726B"/>
    <w:rsid w:val="000765FC"/>
    <w:rsid w:val="000769FD"/>
    <w:rsid w:val="000814CA"/>
    <w:rsid w:val="00086A97"/>
    <w:rsid w:val="000937BA"/>
    <w:rsid w:val="000A7450"/>
    <w:rsid w:val="000A7DBB"/>
    <w:rsid w:val="000B429D"/>
    <w:rsid w:val="000B5FC9"/>
    <w:rsid w:val="000B5FCE"/>
    <w:rsid w:val="000B7951"/>
    <w:rsid w:val="000C17F1"/>
    <w:rsid w:val="000C2138"/>
    <w:rsid w:val="000C352E"/>
    <w:rsid w:val="000C3B63"/>
    <w:rsid w:val="000C3B82"/>
    <w:rsid w:val="000C6C23"/>
    <w:rsid w:val="000D755B"/>
    <w:rsid w:val="000E5930"/>
    <w:rsid w:val="000E6AC9"/>
    <w:rsid w:val="000F14D7"/>
    <w:rsid w:val="00120510"/>
    <w:rsid w:val="001337DB"/>
    <w:rsid w:val="00156932"/>
    <w:rsid w:val="0018142B"/>
    <w:rsid w:val="00195CB8"/>
    <w:rsid w:val="001B69E7"/>
    <w:rsid w:val="001B7677"/>
    <w:rsid w:val="001C0EE5"/>
    <w:rsid w:val="001C2FD3"/>
    <w:rsid w:val="001E0894"/>
    <w:rsid w:val="001E3E9E"/>
    <w:rsid w:val="001F1A46"/>
    <w:rsid w:val="001F2D59"/>
    <w:rsid w:val="001F3274"/>
    <w:rsid w:val="001F64E0"/>
    <w:rsid w:val="001F6897"/>
    <w:rsid w:val="00213170"/>
    <w:rsid w:val="00215171"/>
    <w:rsid w:val="00234250"/>
    <w:rsid w:val="00245804"/>
    <w:rsid w:val="00247DC2"/>
    <w:rsid w:val="00257650"/>
    <w:rsid w:val="00266030"/>
    <w:rsid w:val="00267253"/>
    <w:rsid w:val="0027018B"/>
    <w:rsid w:val="00274176"/>
    <w:rsid w:val="002827C2"/>
    <w:rsid w:val="00284480"/>
    <w:rsid w:val="002A21CB"/>
    <w:rsid w:val="002A46F0"/>
    <w:rsid w:val="002C6E3C"/>
    <w:rsid w:val="002D0E22"/>
    <w:rsid w:val="002E63FF"/>
    <w:rsid w:val="00320D07"/>
    <w:rsid w:val="00326D7B"/>
    <w:rsid w:val="00336B03"/>
    <w:rsid w:val="003476E6"/>
    <w:rsid w:val="0035438F"/>
    <w:rsid w:val="00357785"/>
    <w:rsid w:val="00357882"/>
    <w:rsid w:val="00375342"/>
    <w:rsid w:val="00381395"/>
    <w:rsid w:val="0038789B"/>
    <w:rsid w:val="00390AEB"/>
    <w:rsid w:val="00395399"/>
    <w:rsid w:val="00396360"/>
    <w:rsid w:val="003C367D"/>
    <w:rsid w:val="003C5CA5"/>
    <w:rsid w:val="003D61D8"/>
    <w:rsid w:val="003E36C9"/>
    <w:rsid w:val="004101D2"/>
    <w:rsid w:val="004152BA"/>
    <w:rsid w:val="00434C38"/>
    <w:rsid w:val="00434E31"/>
    <w:rsid w:val="004732CE"/>
    <w:rsid w:val="00480C3D"/>
    <w:rsid w:val="00493F5B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013D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6A57"/>
    <w:rsid w:val="00667301"/>
    <w:rsid w:val="006812EF"/>
    <w:rsid w:val="006A1E8F"/>
    <w:rsid w:val="006A7A32"/>
    <w:rsid w:val="006F7503"/>
    <w:rsid w:val="00710D07"/>
    <w:rsid w:val="00711F8F"/>
    <w:rsid w:val="00726DD2"/>
    <w:rsid w:val="00731517"/>
    <w:rsid w:val="00734725"/>
    <w:rsid w:val="00735671"/>
    <w:rsid w:val="00735AC3"/>
    <w:rsid w:val="0076636D"/>
    <w:rsid w:val="0076796D"/>
    <w:rsid w:val="007A3F90"/>
    <w:rsid w:val="007A49FD"/>
    <w:rsid w:val="007C5507"/>
    <w:rsid w:val="007D7881"/>
    <w:rsid w:val="007E0F68"/>
    <w:rsid w:val="007F7673"/>
    <w:rsid w:val="0080088D"/>
    <w:rsid w:val="00804430"/>
    <w:rsid w:val="00820876"/>
    <w:rsid w:val="00820FC9"/>
    <w:rsid w:val="008258A2"/>
    <w:rsid w:val="00836C0C"/>
    <w:rsid w:val="00842462"/>
    <w:rsid w:val="00851C0F"/>
    <w:rsid w:val="00854426"/>
    <w:rsid w:val="00863D8B"/>
    <w:rsid w:val="0087164F"/>
    <w:rsid w:val="00880CE6"/>
    <w:rsid w:val="0089094C"/>
    <w:rsid w:val="008946F4"/>
    <w:rsid w:val="008A40B7"/>
    <w:rsid w:val="008C16D7"/>
    <w:rsid w:val="008C643D"/>
    <w:rsid w:val="008D772C"/>
    <w:rsid w:val="00914A00"/>
    <w:rsid w:val="009245B3"/>
    <w:rsid w:val="0093654F"/>
    <w:rsid w:val="00945EC6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B6420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702BD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AF4CB8"/>
    <w:rsid w:val="00B079F8"/>
    <w:rsid w:val="00B169A5"/>
    <w:rsid w:val="00B25D75"/>
    <w:rsid w:val="00B32323"/>
    <w:rsid w:val="00B460BF"/>
    <w:rsid w:val="00B47BA1"/>
    <w:rsid w:val="00B54017"/>
    <w:rsid w:val="00B570FE"/>
    <w:rsid w:val="00B65AC8"/>
    <w:rsid w:val="00B74B65"/>
    <w:rsid w:val="00B9486D"/>
    <w:rsid w:val="00BC462B"/>
    <w:rsid w:val="00BF3256"/>
    <w:rsid w:val="00C03BB5"/>
    <w:rsid w:val="00C22B27"/>
    <w:rsid w:val="00C27736"/>
    <w:rsid w:val="00C372E9"/>
    <w:rsid w:val="00C5486C"/>
    <w:rsid w:val="00C57632"/>
    <w:rsid w:val="00C607DF"/>
    <w:rsid w:val="00C64AF3"/>
    <w:rsid w:val="00C87FBA"/>
    <w:rsid w:val="00CD6BFB"/>
    <w:rsid w:val="00CF1817"/>
    <w:rsid w:val="00D00A47"/>
    <w:rsid w:val="00D03682"/>
    <w:rsid w:val="00D12E64"/>
    <w:rsid w:val="00D31BEE"/>
    <w:rsid w:val="00D366FE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27A9"/>
    <w:rsid w:val="00DA5E73"/>
    <w:rsid w:val="00DA7E23"/>
    <w:rsid w:val="00DB1071"/>
    <w:rsid w:val="00DC5444"/>
    <w:rsid w:val="00DD2801"/>
    <w:rsid w:val="00DD377E"/>
    <w:rsid w:val="00DD4D67"/>
    <w:rsid w:val="00DD60C2"/>
    <w:rsid w:val="00DD7E71"/>
    <w:rsid w:val="00DF1D38"/>
    <w:rsid w:val="00DF2512"/>
    <w:rsid w:val="00E1564B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27FE"/>
    <w:rsid w:val="00F850C0"/>
    <w:rsid w:val="00FB0368"/>
    <w:rsid w:val="00FB3147"/>
    <w:rsid w:val="00FD17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7304-2927-492C-8656-286D858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link w:val="AkapitzlistZnak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013D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013D"/>
    <w:rPr>
      <w:rFonts w:cs="Calibri"/>
      <w:sz w:val="22"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C17F1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17F1"/>
    <w:rPr>
      <w:rFonts w:ascii="Courier New" w:eastAsia="Times New Roman" w:hAnsi="Courier New" w:cs="Optima"/>
    </w:rPr>
  </w:style>
  <w:style w:type="character" w:customStyle="1" w:styleId="AkapitzlistZnak">
    <w:name w:val="Akapit z listą Znak"/>
    <w:link w:val="Akapitzlist"/>
    <w:uiPriority w:val="34"/>
    <w:qFormat/>
    <w:locked/>
    <w:rsid w:val="009B64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F2B3-0207-4A30-836B-BA47E3C6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5</cp:revision>
  <cp:lastPrinted>2019-02-28T09:19:00Z</cp:lastPrinted>
  <dcterms:created xsi:type="dcterms:W3CDTF">2019-02-28T08:39:00Z</dcterms:created>
  <dcterms:modified xsi:type="dcterms:W3CDTF">2019-03-04T09:21:00Z</dcterms:modified>
</cp:coreProperties>
</file>