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4C" w:rsidRPr="00D96F4C" w:rsidRDefault="00D96F4C" w:rsidP="00D96F4C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Polska-Zabrze: Roboty budowlane</w:t>
      </w:r>
    </w:p>
    <w:p w:rsidR="00D96F4C" w:rsidRPr="00D96F4C" w:rsidRDefault="00D96F4C" w:rsidP="00D96F4C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2019/S 032-071113</w:t>
      </w:r>
    </w:p>
    <w:p w:rsidR="00D96F4C" w:rsidRPr="00D96F4C" w:rsidRDefault="00D96F4C" w:rsidP="00D96F4C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udzieleniu zamówienia</w:t>
      </w:r>
    </w:p>
    <w:p w:rsidR="00D96F4C" w:rsidRPr="00D96F4C" w:rsidRDefault="00D96F4C" w:rsidP="00D96F4C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Wyniki postępowania</w:t>
      </w:r>
    </w:p>
    <w:p w:rsidR="00D96F4C" w:rsidRPr="00D96F4C" w:rsidRDefault="00D96F4C" w:rsidP="00D96F4C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Roboty budowlane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proofErr w:type="spellStart"/>
      <w:r w:rsidRPr="00D96F4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Legal</w:t>
      </w:r>
      <w:proofErr w:type="spellEnd"/>
      <w:r w:rsidRPr="00D96F4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 xml:space="preserve"> </w:t>
      </w:r>
      <w:proofErr w:type="spellStart"/>
      <w:r w:rsidRPr="00D96F4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Basis</w:t>
      </w:r>
      <w:proofErr w:type="spellEnd"/>
      <w:r w:rsidRPr="00D96F4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: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br/>
        <w:t>Dyrektywa 2014/24/UE</w:t>
      </w:r>
    </w:p>
    <w:p w:rsidR="00D96F4C" w:rsidRPr="00D96F4C" w:rsidRDefault="00D96F4C" w:rsidP="00D96F4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D96F4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Muzeum Górnictwa Węglowego w Zabrzu</w:t>
      </w: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Jodłowa 59</w:t>
      </w: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Zabrze</w:t>
      </w: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41-800</w:t>
      </w: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Muzeum Górnictwa Węglowego w Zabrzu, 41-800 Zabrze, ul. Jodłowa 59</w:t>
      </w: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326303091</w:t>
      </w: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E-mail: </w:t>
      </w:r>
      <w:hyperlink r:id="rId4" w:history="1">
        <w:r w:rsidRPr="00D96F4C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esmietana@muzeumgornictwa.pl</w:t>
        </w:r>
      </w:hyperlink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2771125</w:t>
      </w: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 PL229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Adresy internetowe: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Główny adres: </w:t>
      </w:r>
      <w:hyperlink r:id="rId5" w:tgtFrame="_blank" w:history="1">
        <w:r w:rsidRPr="00D96F4C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http://www.muzeumgornictwa.pl</w:t>
        </w:r>
      </w:hyperlink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I.2)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Informacja o zamówieniu wspólnym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Podmiot prawa publicznego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:rsidR="00D96F4C" w:rsidRPr="00D96F4C" w:rsidRDefault="00D96F4C" w:rsidP="00D96F4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Rekreacja, kultura i religia</w:t>
      </w:r>
      <w:bookmarkStart w:id="0" w:name="_GoBack"/>
      <w:bookmarkEnd w:id="0"/>
    </w:p>
    <w:p w:rsidR="00D96F4C" w:rsidRPr="00D96F4C" w:rsidRDefault="00D96F4C" w:rsidP="00D96F4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D96F4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II.1.1)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Obiekt </w:t>
      </w:r>
      <w:proofErr w:type="spellStart"/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Prinz</w:t>
      </w:r>
      <w:proofErr w:type="spellEnd"/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  <w:proofErr w:type="spellStart"/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Schonaich</w:t>
      </w:r>
      <w:proofErr w:type="spellEnd"/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i Warsztat Elektryczny – wykonanie prac budowlanych, konserwatorskich wraz z zagospodarowaniem terenu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ZP/21/MGW/2018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sz w:val="20"/>
          <w:szCs w:val="20"/>
          <w:lang w:eastAsia="pl-PL"/>
        </w:rPr>
        <w:t>45000000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Roboty budowlane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Przedmiotem zamówienia jest wykonanie robót budowlanych obejmujących rewitalizację i udostępnienie poprzemysłowego dziedzictwa Górnego Śląska na przykładzie Kopalni </w:t>
      </w: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Królowa Luiza w Zabrzu obejmująca swoim zakresem zmianę sposobu użytkowania obiektów.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nie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II.1.7)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Całkowita wartość zamówienia (bez VAT)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21 337 807.21 PLN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sz w:val="20"/>
          <w:szCs w:val="20"/>
          <w:lang w:eastAsia="pl-PL"/>
        </w:rPr>
        <w:t>45453000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sz w:val="20"/>
          <w:szCs w:val="20"/>
          <w:lang w:eastAsia="pl-PL"/>
        </w:rPr>
        <w:t>45453100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sz w:val="20"/>
          <w:szCs w:val="20"/>
          <w:lang w:eastAsia="pl-PL"/>
        </w:rPr>
        <w:t>35120000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sz w:val="20"/>
          <w:szCs w:val="20"/>
          <w:lang w:eastAsia="pl-PL"/>
        </w:rPr>
        <w:t>45262690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PL229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Budynki Muzeum Górnictwa Węglowego w Zabrzu przy ul. Wolności 410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Przedmiotem zamówienia jest wykonanie robót budowlanych obejmujących rewitalizację i udostępnienie poprzemysłowego dziedzictwa Górnego Śląska na przykładzie Kopalni Królowa Luiza w Zabrzu obejmująca swoim zakresem zmianę sposobu użytkowania obiektów: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1.1. Etap I – zakres podstawowy: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1) budynku maszynowni szybu </w:t>
      </w:r>
      <w:proofErr w:type="spellStart"/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Prinz</w:t>
      </w:r>
      <w:proofErr w:type="spellEnd"/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  <w:proofErr w:type="spellStart"/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Schoenaich</w:t>
      </w:r>
      <w:proofErr w:type="spellEnd"/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na funkcję wystawienniczą – obiekt nr 7,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2) budynku warsztatu elektrycznego (dawnej </w:t>
      </w:r>
      <w:proofErr w:type="spellStart"/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skraplarni</w:t>
      </w:r>
      <w:proofErr w:type="spellEnd"/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) na funkcję pracowni konserwatorskiej – warsztatu konserwatorskiego jak również częściowo otwartej pracowni z wydzieloną częścią ekspozycyjną dostępną dla turystów – obiekt nr 9,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3) zagospodarowanie terenu zachowujące zasadnicze elementy historycznego układu przestrzennego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dawnej Kopalni Luiza a elementy nowoprojektowane nawiązują do istniejących historycznych elementów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zagospodarowania terenu oraz charakteru całego obiektu,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4) drogi, chodniki, place oraz ukształtowanie terenu,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5) elementy zagospodarowania terenu, małej architektury, zieleń,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6) wbudowanie instalacji c.o. w budynek maszyny parowej (obiekt nr 10),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7) uzbrojenie terenu, obejmujące: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a) przyłącza wodno-kanalizacyjne,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b) sieć preizolowana c.o. podwójna, w tym sieć preizolowaną c.o. niskoparametrową którą należy doprowadzić do nowoprojektowanej gazowej kotłowni parowej zlokalizowanej w budynku nr 10 i podłączyć do wymiennika ciepła para-woda,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c) sieć instalacji elektrycznej niskiego napięcia zasilającej poszczególne obiekty; przebudowa załącza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Kablowego Tauron; przebudowa rozdzielni głównej niskiego napięcia; budowa baterii paneli fotowoltaicznych, sieć instalacji oświetlenia terenu, instalacji kanalizacji kablowej,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d) sieć instalacji niskoprądowej: monitoring terenu, kontroli dostępu, instalacja internetowa, kanalizacja kablowa dla w/w instalacji w tym zaprojektowanych elektrycznych urządzeń i systemów alarmowych, sygnalizujących zagrożenie chronionych osób i mienia,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8) zagospodarowania terenu przy Hali Pogoń Zabrze przy ul. Wolności w Zabrzu obejmującego budowę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parkingów dla samochodów osobowych i autobusów oraz infrastruktury towarzyszącej, w którego zakres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wchodzi: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a) zagospodarowanie terenu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b) drogi, chodniki i parkingi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c) schody ewakuacyjne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d) przebudowa istniejącej ściany oporowej od strony zjazdu do niecki przy hali Pogoń Zabrze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e) uzbrojenie terenu, obejmujące: kanalizację deszczową, sieć instalacji elektrycznej, sieć instalacji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Niskoprądowej.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1.2. Etap II – objęty zakresem Opcji nr 1: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pomieszczeń zagłębionych w gruncie pomiędzy murem oporowym a piwnicami budynku </w:t>
      </w:r>
      <w:proofErr w:type="spellStart"/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Prinz</w:t>
      </w:r>
      <w:proofErr w:type="spellEnd"/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  <w:proofErr w:type="spellStart"/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Schoenaich</w:t>
      </w:r>
      <w:proofErr w:type="spellEnd"/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na cele wystawiennicze oraz techniczne (obiekt 7a) z renowacją istniejącego muru oporowego.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1.3. Etap III – objęty zakresem Opcji nr 2: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rewaloryzację i konserwację ściany oporowej Niecki (od strony zachodniej).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2. Szczegółowy opis przedmiotu zamówienia określa w szczególności Projekt budowlany, oraz </w:t>
      </w:r>
      <w:proofErr w:type="spellStart"/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STWiORB</w:t>
      </w:r>
      <w:proofErr w:type="spellEnd"/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który stanowi załącznik nr 1 do SIWZ.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Wykonawca udzieli Zamawiającemu gwarancji na wykonane roboty budowlane na okres co najmniej 36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miesięcy oraz gwarancji na zainstalowane urządzenia i systemy na okres 36 miesięcy licząc od daty podpisania protokół odbioru przedmiotu Umowy.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jakości - Nazwa: Okres gwarancji na roboty budowlane / Waga: 40 %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 - Waga: 60 %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tak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Opis opcji: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Etap II – objęty zakresem Opcji nr 1: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Pomieszczeń zagłębionych w gruncie pomiędzy murem oporowym a piwnicami budynku </w:t>
      </w:r>
      <w:proofErr w:type="spellStart"/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Prinz</w:t>
      </w:r>
      <w:proofErr w:type="spellEnd"/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  <w:proofErr w:type="spellStart"/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Schoenaich</w:t>
      </w:r>
      <w:proofErr w:type="spellEnd"/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na cele wystawiennicze oraz techniczne (obiekt 7a) z renowacją istniejącego muru oporowego,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Etap III – objęty zakresem Opcji nr 2: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Rewaloryzację i konserwację ściany oporowej Niecki (od strony zachodniej).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tak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identyfikacyjny projektu: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POIS.08.01.00-00-0074/17</w:t>
      </w:r>
    </w:p>
    <w:p w:rsidR="00D96F4C" w:rsidRPr="00D96F4C" w:rsidRDefault="00D96F4C" w:rsidP="00D96F4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96F4C" w:rsidRPr="00D96F4C" w:rsidRDefault="00D96F4C" w:rsidP="00D96F4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D96F4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IV.1)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IV.1.6)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aukcji elektronicznej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nie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IV.2.1)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Poprzednia publikacja dotycząca przedmiotowego postępowania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Numer ogłoszenia w </w:t>
      </w:r>
      <w:proofErr w:type="spellStart"/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Dz.Urz</w:t>
      </w:r>
      <w:proofErr w:type="spellEnd"/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. UE – OJ/S: </w:t>
      </w:r>
      <w:hyperlink r:id="rId6" w:history="1">
        <w:r w:rsidRPr="00D96F4C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2018/S 146-333571</w:t>
        </w:r>
      </w:hyperlink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IV.2.8)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zakończeniu dynamicznego systemu zakupów</w:t>
      </w:r>
    </w:p>
    <w:p w:rsidR="00D96F4C" w:rsidRPr="00D96F4C" w:rsidRDefault="00D96F4C" w:rsidP="00D96F4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IV.2.9)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zakończeniu zaproszenia do ubiegania się o zamówienie w postaci wstępnego ogłoszenia informacyjnego</w:t>
      </w:r>
    </w:p>
    <w:p w:rsidR="00D96F4C" w:rsidRPr="00D96F4C" w:rsidRDefault="00D96F4C" w:rsidP="00D96F4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D96F4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V: Udzielenie zamówienia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Obiekt </w:t>
      </w:r>
      <w:proofErr w:type="spellStart"/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Prinz</w:t>
      </w:r>
      <w:proofErr w:type="spellEnd"/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  <w:proofErr w:type="spellStart"/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Schonaich</w:t>
      </w:r>
      <w:proofErr w:type="spellEnd"/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i Warsztat Elektryczny – wykonanie prac budowlanych, konserwatorskich wraz z zagospodarowaniem terenu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Zamówienie/zamówienie na część zostaje udzielone: tak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V.2)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Udzielenie zamówienia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V.2.1)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zawarcia umowy: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21/01/2019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V.2.2)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Liczba otrzymanych ofert: 4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Liczba ofert otrzymanych od MŚP: 3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Liczba ofert otrzymanych od oferentów z innych państw członkowskich UE: 0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Liczba ofert otrzymanych od oferentów z państw niebędących członkami UE: 0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Liczba ofert otrzymanych drogą elektroniczną: 0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zostało udzielone grupie wykonawców: nie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V.2.3)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 wykonawcy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Przedsiębiorstwo Budowlane „Dombud” SA</w:t>
      </w: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Katowice</w:t>
      </w: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40-059</w:t>
      </w: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327219219</w:t>
      </w: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 PL22A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Wykonawcą jest MŚP: nie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V.2.4)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wartości zamówienia/części (bez VAT)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Początkowa szacunkowa całkowita wartość zamówienia/części: 18 832 533.19 PLN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Całkowita końcowa wartość umowy/części: 21 337 807.21 PLN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V.2.5)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podwykonawstwa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 ramach zamówienia przewidywane jest zlecenie podwykonawstwa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Krótki opis części zamówienia, która może zostać zlecona podwykonawcom:</w:t>
      </w:r>
    </w:p>
    <w:p w:rsidR="00D96F4C" w:rsidRPr="00D96F4C" w:rsidRDefault="00D96F4C" w:rsidP="00D96F4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Wykonawca zamierza powierzyć podwykonawcą części zamówienia: instalacje sanitarne, instalacje elektryczne i niskoprądowe, instalacja wentylacji i klimatyzacji, sieci zewnętrzne i przyłącza, stolarka, ślusarka, dach, elewacja</w:t>
      </w:r>
    </w:p>
    <w:p w:rsidR="00D96F4C" w:rsidRPr="00D96F4C" w:rsidRDefault="00D96F4C" w:rsidP="00D96F4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D96F4C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Prezes Krajowej Izby Odwoławczej</w:t>
      </w: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224587840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VI.4.2)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mediacyjne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VI.4.3)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Składanie </w:t>
      </w:r>
      <w:proofErr w:type="spellStart"/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Dokładne informacje na temat terminów składania </w:t>
      </w:r>
      <w:proofErr w:type="spellStart"/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: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Dokładne informacje na temat terminów składania </w:t>
      </w:r>
      <w:proofErr w:type="spellStart"/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: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Wykonawcom przysługują środki ochrony prawnej określone w Dziale VI Prawa zamówień publicznych „Środki ochrony prawnej” (art. 179 - 198g Prawa zamówień publicznych), tj. odwołanie do Prezesa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Krajowej Izby Odwoławczej oraz skarga do sądu okręgowego właściwego dla siedziby Zamawiającego.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Środki ochrony prawnej (odwołanie oraz skarga) przysługują Wykonawcy, a także innemu podmiotowi, jeżeli ma lub miał interes w uzyskaniu zamówienia oraz poniósł lub może ponieść szkodę w wyniku naruszenia przez Zamawiającego przepisów Prawa zamówień publicznych. Środki ochrony prawnej wobec Ogłoszenia o zamówieniu oraz SIWZ przysługują również organizacjom wpisanym na listę, o której mowa w art. 154 pkt 5 Prawa zamówień publicznych.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3.1. Odwołanie wnosi się w terminie 10 dni od dnia przesłania informacji o czynności Zamawiającego stanowiącej podstawę jego wniesienia – jeżeli zostały przesłane w sposób określony w art. 180 ust. 5 Prawa zamówień publicznych zdanie drugie albo w terminie 15 dni – jeżeli zostały przesłane w inny sposób,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3.2. Odwołanie wobec treści ogłoszenia o zamówieniu oraz wobec postanowień SIWZ, wnosi się w terminie 10 dni od dnia publikacji ogłoszenia w Dzienniku Urzędowym Unii Europejskiej lub zamieszczenia SIWZ na stronie internetowej,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3.3. Odwołanie wobec czynności innych niż określone w pkt. 19.3.1. i 19.3.2. wnosi się w terminie 10 dni od dnia, w którym powzięto lub przy zachowaniu należytej staranności można było powziąć wiadomość o okolicznościach stanowiących podstawę jego wniesienia.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Odwołanie przysługuje wyłącznie od niezgodnej przepisami Prawa zamówień publicznych czynności Zamawiającego podjętej w postępowaniu o udzielenie zamówienia lub zaniechania czynności, do której Zamawiający jest zobowiązany na podstawie Prawa zamówień publicznych.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5. Odwołanie powinno wskazywać czynności lub zaniechanie czynności Zamawiającego, której zarzuca się niezgodność z przepisami Prawa zamówień publicznych, zawierać zwięzłe </w:t>
      </w: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przedstawienie zarzutów, określać żądanie oraz wskazywać okoliczności faktyczne i prawne uzasadniające wniesienie odwołania.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6. Odwołanie wnosi się do Prezesa Izby w formie pisemnej lub postaci elektronicznej, podpisane bezpiecznym podpisem elektronicznym weryfikowanym za pomocą ważnego kwalifikowanego certyfikatu.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7. Odwołujący przesyła kopię odwołania Zamawiającemu przed upływem terminu do wniesienia odwołania w taki sposób, aby mógł on zapoznać się z jego treścią przed upływem tego terminu. Domniemywa </w:t>
      </w:r>
      <w:proofErr w:type="spellStart"/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sięiż</w:t>
      </w:r>
      <w:proofErr w:type="spellEnd"/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Zamawiający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8. Na orzeczenie Izby stronom oraz uczestnikom postępowania odwoławczego przysługuje skarga do sądu.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9. Skargę wnosi się do sądu właściwego dla siedziby albo miejsca zamieszkania Zamawiającego za pośrednictwem Prezesa Izby w terminie 7 dni od dnia doręczenia orzeczenia Izby, przesyłające jednocześnie jej odpis przeciwnikowi skargi. Złożenie skargi w placówce pocztowej operatora wyznaczonego jest równoznaczne z jej wniesieniem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VI.4.4)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Źródło, gdzie można uzyskać informacje na temat składania </w:t>
      </w:r>
      <w:proofErr w:type="spellStart"/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Prezes Krajowej Izby Odwoławczej</w:t>
      </w: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224587840</w:t>
      </w:r>
    </w:p>
    <w:p w:rsidR="00D96F4C" w:rsidRPr="00D96F4C" w:rsidRDefault="00D96F4C" w:rsidP="00D96F4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D96F4C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:rsidR="00D96F4C" w:rsidRPr="00D96F4C" w:rsidRDefault="00D96F4C" w:rsidP="00D96F4C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96F4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12/02/2019</w:t>
      </w:r>
    </w:p>
    <w:p w:rsidR="00AD1FCB" w:rsidRDefault="00AD1FCB"/>
    <w:sectPr w:rsidR="00AD1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AC"/>
    <w:rsid w:val="00AD1FCB"/>
    <w:rsid w:val="00BA34AC"/>
    <w:rsid w:val="00D9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A1024-CCCC-468E-A185-95BD57DE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7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411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28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571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377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164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67122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352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78526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148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285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5774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32645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6063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100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5401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96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7959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3949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556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647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8155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345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5217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388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952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272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204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0999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457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811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064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63730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728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4866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460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6926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836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6882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9811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067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6245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3932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3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561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196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9685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48293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8310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321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247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866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8992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453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8524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9697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33754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2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178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0586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8992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9668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279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688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6026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024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945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9005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1045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2300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9749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529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077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53230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09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7020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5648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5187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084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7513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0840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623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3580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1207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374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927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8035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266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113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248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670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2901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5497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0157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908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219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539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564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542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3885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d.europa.eu/udl?uri=TED:NOTICE:333571-2018:TEXT:PL:HTML" TargetMode="External"/><Relationship Id="rId5" Type="http://schemas.openxmlformats.org/officeDocument/2006/relationships/hyperlink" Target="http://www.muzeumgornictwa.pl/" TargetMode="External"/><Relationship Id="rId4" Type="http://schemas.openxmlformats.org/officeDocument/2006/relationships/hyperlink" Target="mailto:esmietana@muzeumgornictwa.pl?subject=TE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1651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Żmija</dc:creator>
  <cp:keywords/>
  <dc:description/>
  <cp:lastModifiedBy>Beata Żmija</cp:lastModifiedBy>
  <cp:revision>2</cp:revision>
  <dcterms:created xsi:type="dcterms:W3CDTF">2019-02-14T08:15:00Z</dcterms:created>
  <dcterms:modified xsi:type="dcterms:W3CDTF">2019-02-14T08:15:00Z</dcterms:modified>
</cp:coreProperties>
</file>