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11218D7A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</w:t>
      </w:r>
      <w:r w:rsidR="005E4393">
        <w:rPr>
          <w:rFonts w:cstheme="minorHAnsi"/>
        </w:rPr>
        <w:t>WA NABIAŁU I PROBUKTÓW MLECZARSKICH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7C1F264" w14:textId="69827355" w:rsidR="002F090A" w:rsidRPr="002F090A" w:rsidRDefault="002F090A" w:rsidP="002F090A">
      <w:pPr>
        <w:jc w:val="both"/>
        <w:rPr>
          <w:rFonts w:cstheme="minorHAnsi"/>
        </w:rPr>
      </w:pP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0B45BBA2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4E0832">
        <w:rPr>
          <w:rFonts w:eastAsiaTheme="minorEastAsia" w:cstheme="minorHAnsi"/>
        </w:rPr>
        <w:t xml:space="preserve">win </w:t>
      </w:r>
      <w:r w:rsidR="005E4393">
        <w:rPr>
          <w:rFonts w:eastAsiaTheme="minorEastAsia" w:cstheme="minorHAnsi"/>
        </w:rPr>
        <w:t>produktów mleczarskich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3109FC14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 xml:space="preserve">Dostawa </w:t>
      </w:r>
      <w:r w:rsidR="005F0C47">
        <w:rPr>
          <w:rFonts w:eastAsiaTheme="minorEastAsia" w:cstheme="minorHAnsi"/>
        </w:rPr>
        <w:t>nabiału i produktów mleczarskich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03A9C023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D21CD9">
        <w:rPr>
          <w:rFonts w:eastAsiaTheme="minorEastAsia" w:cstheme="minorHAnsi"/>
        </w:rPr>
        <w:t>nabiału i produktów mleczarskich</w:t>
      </w:r>
      <w:bookmarkStart w:id="0" w:name="_GoBack"/>
      <w:bookmarkEnd w:id="0"/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04AA05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536459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 xml:space="preserve"> wynosi…………………………….. zł (słownie……………………………………………………………………………………złotych)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D21CD9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5E4393"/>
    <w:rsid w:val="005F0C47"/>
    <w:rsid w:val="006945C8"/>
    <w:rsid w:val="008A3B67"/>
    <w:rsid w:val="009551D9"/>
    <w:rsid w:val="0096580B"/>
    <w:rsid w:val="009D0F2E"/>
    <w:rsid w:val="00D21CD9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AC32-A411-4FB1-9C78-B8EB765D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6</cp:revision>
  <cp:lastPrinted>2021-12-06T11:37:00Z</cp:lastPrinted>
  <dcterms:created xsi:type="dcterms:W3CDTF">2021-12-06T11:29:00Z</dcterms:created>
  <dcterms:modified xsi:type="dcterms:W3CDTF">2021-12-14T13:05:00Z</dcterms:modified>
</cp:coreProperties>
</file>