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 w:rsidR="00BC2200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613CBB">
        <w:rPr>
          <w:rFonts w:ascii="Arial" w:hAnsi="Arial" w:cs="Arial"/>
          <w:lang w:eastAsia="ar-SA"/>
        </w:rPr>
        <w:t>1</w:t>
      </w:r>
      <w:r w:rsidR="00AC1BA2">
        <w:rPr>
          <w:rFonts w:ascii="Arial" w:hAnsi="Arial" w:cs="Arial"/>
          <w:lang w:eastAsia="ar-SA"/>
        </w:rPr>
        <w:t>0</w:t>
      </w:r>
      <w:r w:rsidR="00613CBB">
        <w:rPr>
          <w:rFonts w:ascii="Arial" w:hAnsi="Arial" w:cs="Arial"/>
          <w:lang w:eastAsia="ar-SA"/>
        </w:rPr>
        <w:t xml:space="preserve"> </w:t>
      </w:r>
      <w:r w:rsidR="00AC1BA2">
        <w:rPr>
          <w:rFonts w:ascii="Arial" w:hAnsi="Arial" w:cs="Arial"/>
          <w:lang w:eastAsia="ar-SA"/>
        </w:rPr>
        <w:t>styczeń</w:t>
      </w:r>
      <w:r w:rsidR="009D563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 w:rsidR="00BC220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F074E4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202</w:t>
      </w:r>
      <w:r w:rsidR="00AC1BA2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F074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074E4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F074E4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F074E4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13CBB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</w:t>
      </w:r>
      <w:r w:rsidR="00613CBB">
        <w:rPr>
          <w:rFonts w:ascii="Arial" w:hAnsi="Arial" w:cs="Arial"/>
          <w:sz w:val="18"/>
          <w:szCs w:val="18"/>
        </w:rPr>
        <w:t>ą</w:t>
      </w:r>
      <w:r w:rsidRPr="006D0DE8">
        <w:rPr>
          <w:rFonts w:ascii="Arial" w:hAnsi="Arial" w:cs="Arial"/>
          <w:sz w:val="18"/>
          <w:szCs w:val="18"/>
        </w:rPr>
        <w:t xml:space="preserve"> rozliczane zgodnie z aktualn</w:t>
      </w:r>
      <w:r w:rsidR="00613CBB">
        <w:rPr>
          <w:rFonts w:ascii="Arial" w:hAnsi="Arial" w:cs="Arial"/>
          <w:sz w:val="18"/>
          <w:szCs w:val="18"/>
        </w:rPr>
        <w:t>ą ceną zakupu + 10% narzutu</w:t>
      </w:r>
      <w:r w:rsidRPr="00613CBB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C862EF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C1BA2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8"/>
        </w:rPr>
      </w:pP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2656C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2656C7">
      <w:pPr>
        <w:numPr>
          <w:ilvl w:val="0"/>
          <w:numId w:val="9"/>
        </w:numPr>
        <w:tabs>
          <w:tab w:val="left" w:pos="709"/>
        </w:tabs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7F5846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2656C7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2656C7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0F11A8" w:rsidRPr="002B3727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</w:p>
    <w:p w:rsidR="00A528C9" w:rsidRPr="00A528C9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2656C7">
      <w:pPr>
        <w:ind w:left="709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613CBB">
      <w:pPr>
        <w:suppressAutoHyphens/>
        <w:ind w:left="1440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rPr>
          <w:sz w:val="18"/>
          <w:szCs w:val="18"/>
        </w:rPr>
      </w:pPr>
    </w:p>
    <w:p w:rsidR="00D95962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613CBB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Pr="006D0DE8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48" w:rsidRDefault="006B7948">
      <w:r>
        <w:separator/>
      </w:r>
    </w:p>
  </w:endnote>
  <w:endnote w:type="continuationSeparator" w:id="0">
    <w:p w:rsidR="006B7948" w:rsidRDefault="006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6B7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48" w:rsidRDefault="006B7948">
      <w:r>
        <w:separator/>
      </w:r>
    </w:p>
  </w:footnote>
  <w:footnote w:type="continuationSeparator" w:id="0">
    <w:p w:rsidR="006B7948" w:rsidRDefault="006B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207B84"/>
    <w:rsid w:val="002244B8"/>
    <w:rsid w:val="00230A77"/>
    <w:rsid w:val="002558EE"/>
    <w:rsid w:val="002656C7"/>
    <w:rsid w:val="002F616F"/>
    <w:rsid w:val="0036535C"/>
    <w:rsid w:val="00366FD5"/>
    <w:rsid w:val="00373D5C"/>
    <w:rsid w:val="00376DA3"/>
    <w:rsid w:val="003F3B15"/>
    <w:rsid w:val="003F3FB4"/>
    <w:rsid w:val="004119D0"/>
    <w:rsid w:val="00437C6B"/>
    <w:rsid w:val="004458E2"/>
    <w:rsid w:val="004C24A5"/>
    <w:rsid w:val="004D66E8"/>
    <w:rsid w:val="00553CBF"/>
    <w:rsid w:val="005A02DC"/>
    <w:rsid w:val="005B207A"/>
    <w:rsid w:val="005D5F9E"/>
    <w:rsid w:val="00613CBB"/>
    <w:rsid w:val="006338CD"/>
    <w:rsid w:val="00656953"/>
    <w:rsid w:val="006B0224"/>
    <w:rsid w:val="006B7948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3CC7"/>
    <w:rsid w:val="009B4C00"/>
    <w:rsid w:val="009D5630"/>
    <w:rsid w:val="00A15B43"/>
    <w:rsid w:val="00A1664A"/>
    <w:rsid w:val="00A26073"/>
    <w:rsid w:val="00A528C9"/>
    <w:rsid w:val="00A80E63"/>
    <w:rsid w:val="00AA22A8"/>
    <w:rsid w:val="00AC1BA2"/>
    <w:rsid w:val="00B52E17"/>
    <w:rsid w:val="00B573CF"/>
    <w:rsid w:val="00BA38D4"/>
    <w:rsid w:val="00BB2079"/>
    <w:rsid w:val="00BC2200"/>
    <w:rsid w:val="00BD3D24"/>
    <w:rsid w:val="00C45D94"/>
    <w:rsid w:val="00C75737"/>
    <w:rsid w:val="00C862EF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7150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2186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69</cp:revision>
  <cp:lastPrinted>2019-11-10T13:09:00Z</cp:lastPrinted>
  <dcterms:created xsi:type="dcterms:W3CDTF">2019-11-07T14:55:00Z</dcterms:created>
  <dcterms:modified xsi:type="dcterms:W3CDTF">2023-01-09T10:58:00Z</dcterms:modified>
</cp:coreProperties>
</file>