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2C" w:rsidRDefault="00C4612C" w:rsidP="00C4612C">
      <w:pPr>
        <w:jc w:val="right"/>
      </w:pPr>
    </w:p>
    <w:p w:rsidR="00C4612C" w:rsidRDefault="00C4612C" w:rsidP="00C4612C">
      <w:pPr>
        <w:jc w:val="right"/>
      </w:pPr>
      <w:bookmarkStart w:id="0" w:name="_GoBack"/>
      <w:bookmarkEnd w:id="0"/>
      <w:r>
        <w:t>Załącznik nr 1</w:t>
      </w:r>
    </w:p>
    <w:p w:rsidR="00C4612C" w:rsidRPr="00121CA2" w:rsidRDefault="00C4612C" w:rsidP="00C4612C">
      <w:pPr>
        <w:jc w:val="center"/>
        <w:rPr>
          <w:rFonts w:ascii="Times New Roman" w:hAnsi="Times New Roman"/>
          <w:b/>
          <w:sz w:val="32"/>
          <w:szCs w:val="32"/>
        </w:rPr>
      </w:pPr>
      <w:r w:rsidRPr="00121CA2">
        <w:rPr>
          <w:rFonts w:ascii="Times New Roman" w:hAnsi="Times New Roman"/>
          <w:b/>
          <w:sz w:val="32"/>
          <w:szCs w:val="32"/>
        </w:rPr>
        <w:t>Regulamin oceny ofert</w:t>
      </w:r>
    </w:p>
    <w:p w:rsidR="00C4612C" w:rsidRPr="00121CA2" w:rsidRDefault="00C4612C" w:rsidP="00C4612C">
      <w:pPr>
        <w:rPr>
          <w:rFonts w:ascii="Times New Roman" w:hAnsi="Times New Roman"/>
        </w:rPr>
      </w:pPr>
    </w:p>
    <w:p w:rsidR="00C4612C" w:rsidRPr="00121CA2" w:rsidRDefault="00C4612C" w:rsidP="00C4612C">
      <w:pPr>
        <w:rPr>
          <w:rFonts w:ascii="Times New Roman" w:hAnsi="Times New Roman"/>
        </w:rPr>
      </w:pPr>
      <w:r w:rsidRPr="00121CA2">
        <w:rPr>
          <w:rFonts w:ascii="Times New Roman" w:hAnsi="Times New Roman"/>
        </w:rPr>
        <w:t xml:space="preserve">Regulamin obowiązuje od dnia </w:t>
      </w:r>
      <w:r>
        <w:rPr>
          <w:rFonts w:ascii="Times New Roman" w:hAnsi="Times New Roman"/>
        </w:rPr>
        <w:t>16 maja</w:t>
      </w:r>
      <w:r w:rsidRPr="00121CA2">
        <w:rPr>
          <w:rFonts w:ascii="Times New Roman" w:hAnsi="Times New Roman"/>
        </w:rPr>
        <w:t xml:space="preserve"> 2014 r.</w:t>
      </w:r>
    </w:p>
    <w:p w:rsidR="00C4612C" w:rsidRPr="00121CA2" w:rsidRDefault="00C4612C" w:rsidP="00C4612C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21CA2">
        <w:rPr>
          <w:rFonts w:ascii="Times New Roman" w:hAnsi="Times New Roman"/>
          <w:b/>
          <w:bCs/>
          <w:sz w:val="24"/>
          <w:szCs w:val="24"/>
        </w:rPr>
        <w:t>§ 1</w:t>
      </w:r>
    </w:p>
    <w:p w:rsidR="00C4612C" w:rsidRPr="00121CA2" w:rsidRDefault="00C4612C" w:rsidP="00C4612C">
      <w:pPr>
        <w:jc w:val="center"/>
        <w:rPr>
          <w:rFonts w:ascii="Times New Roman" w:hAnsi="Times New Roman"/>
          <w:b/>
          <w:sz w:val="24"/>
          <w:szCs w:val="24"/>
        </w:rPr>
      </w:pPr>
      <w:r w:rsidRPr="00121CA2">
        <w:rPr>
          <w:rFonts w:ascii="Times New Roman" w:hAnsi="Times New Roman"/>
          <w:b/>
          <w:sz w:val="24"/>
          <w:szCs w:val="24"/>
        </w:rPr>
        <w:t>Sposób wyboru oferty</w:t>
      </w:r>
    </w:p>
    <w:p w:rsidR="00C4612C" w:rsidRPr="00121CA2" w:rsidRDefault="00C4612C" w:rsidP="00C4612C">
      <w:pPr>
        <w:tabs>
          <w:tab w:val="left" w:pos="426"/>
        </w:tabs>
        <w:spacing w:after="0" w:line="240" w:lineRule="auto"/>
        <w:ind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121CA2">
        <w:rPr>
          <w:rFonts w:ascii="Times New Roman" w:eastAsia="Times New Roman" w:hAnsi="Times New Roman"/>
          <w:sz w:val="24"/>
          <w:szCs w:val="24"/>
        </w:rPr>
        <w:t xml:space="preserve">1. Przy wyborze najkorzystniejszej oferty Zamawiający będzie się kierował następującymi kryteriami: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1560"/>
        <w:gridCol w:w="1134"/>
        <w:gridCol w:w="4142"/>
      </w:tblGrid>
      <w:tr w:rsidR="00C4612C" w:rsidRPr="00385336" w:rsidTr="00812E8F">
        <w:tc>
          <w:tcPr>
            <w:tcW w:w="5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842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Nazwa kryterium</w:t>
            </w:r>
          </w:p>
        </w:tc>
        <w:tc>
          <w:tcPr>
            <w:tcW w:w="1560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Opis kryterium</w:t>
            </w:r>
          </w:p>
        </w:tc>
        <w:tc>
          <w:tcPr>
            <w:tcW w:w="11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Waga kryterium (%)</w:t>
            </w:r>
          </w:p>
        </w:tc>
        <w:tc>
          <w:tcPr>
            <w:tcW w:w="4142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Maksymalna ilość punktów obliczona wg wzoru</w:t>
            </w:r>
          </w:p>
        </w:tc>
      </w:tr>
      <w:tr w:rsidR="00C4612C" w:rsidRPr="00385336" w:rsidTr="00812E8F">
        <w:tc>
          <w:tcPr>
            <w:tcW w:w="5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Cena</w:t>
            </w:r>
          </w:p>
        </w:tc>
        <w:tc>
          <w:tcPr>
            <w:tcW w:w="1560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Cena oferty brutto podana w formularzu ofertowym</w:t>
            </w:r>
          </w:p>
        </w:tc>
        <w:tc>
          <w:tcPr>
            <w:tcW w:w="11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142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najniższa cena oferty/cena oferty badanej x 60 punktów</w:t>
            </w:r>
          </w:p>
        </w:tc>
      </w:tr>
      <w:tr w:rsidR="00C4612C" w:rsidRPr="00385336" w:rsidTr="00812E8F">
        <w:tc>
          <w:tcPr>
            <w:tcW w:w="5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 xml:space="preserve">Ocena opisowego projektu przygotowania </w:t>
            </w:r>
            <w:proofErr w:type="spellStart"/>
            <w:r w:rsidRPr="00385336">
              <w:rPr>
                <w:rFonts w:ascii="Times New Roman" w:hAnsi="Times New Roman"/>
                <w:sz w:val="20"/>
                <w:szCs w:val="20"/>
              </w:rPr>
              <w:t>kontentu</w:t>
            </w:r>
            <w:proofErr w:type="spellEnd"/>
            <w:r w:rsidRPr="00385336">
              <w:rPr>
                <w:rFonts w:ascii="Times New Roman" w:hAnsi="Times New Roman"/>
                <w:sz w:val="20"/>
                <w:szCs w:val="20"/>
              </w:rPr>
              <w:t xml:space="preserve"> na potrzeby stanowiska A.3</w:t>
            </w:r>
          </w:p>
        </w:tc>
        <w:tc>
          <w:tcPr>
            <w:tcW w:w="1560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 xml:space="preserve">Indywidualna ocena punktowa uzyskana w wyniku indywidualnej oceny członków komisji  (łączna suma ocen wszystkich czterech </w:t>
            </w:r>
            <w:proofErr w:type="spellStart"/>
            <w:r w:rsidRPr="00385336">
              <w:rPr>
                <w:rFonts w:ascii="Times New Roman" w:hAnsi="Times New Roman"/>
                <w:sz w:val="20"/>
                <w:szCs w:val="20"/>
              </w:rPr>
              <w:t>podkryteriów</w:t>
            </w:r>
            <w:proofErr w:type="spellEnd"/>
            <w:r w:rsidRPr="00385336">
              <w:rPr>
                <w:rFonts w:ascii="Times New Roman" w:hAnsi="Times New Roman"/>
                <w:sz w:val="20"/>
                <w:szCs w:val="20"/>
              </w:rPr>
              <w:t xml:space="preserve"> stanowiąca łącznie ocenę kryterium)</w:t>
            </w:r>
          </w:p>
        </w:tc>
        <w:tc>
          <w:tcPr>
            <w:tcW w:w="11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142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Suma punktów oferty badanej/Najwyższa suma punktów w kryterium x 40 punktów</w:t>
            </w:r>
          </w:p>
        </w:tc>
      </w:tr>
      <w:tr w:rsidR="00C4612C" w:rsidRPr="00385336" w:rsidTr="00812E8F">
        <w:tc>
          <w:tcPr>
            <w:tcW w:w="5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  <w:r w:rsidRPr="0038533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142" w:type="dxa"/>
            <w:shd w:val="clear" w:color="auto" w:fill="auto"/>
          </w:tcPr>
          <w:p w:rsidR="00C4612C" w:rsidRPr="00385336" w:rsidRDefault="00C4612C" w:rsidP="00812E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4612C" w:rsidRDefault="00C4612C" w:rsidP="00C4612C">
      <w:pPr>
        <w:pStyle w:val="Default"/>
        <w:ind w:hanging="426"/>
        <w:rPr>
          <w:rFonts w:ascii="Times New Roman" w:hAnsi="Times New Roman" w:cs="Times New Roman"/>
        </w:rPr>
      </w:pPr>
    </w:p>
    <w:p w:rsidR="00C4612C" w:rsidRPr="00121CA2" w:rsidRDefault="00C4612C" w:rsidP="00C4612C">
      <w:pPr>
        <w:pStyle w:val="Default"/>
        <w:tabs>
          <w:tab w:val="left" w:pos="0"/>
        </w:tabs>
        <w:ind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2. Ocena będzie dokonana z dokładnością do dwóch miejsc po przecinku. </w:t>
      </w:r>
    </w:p>
    <w:p w:rsidR="00C4612C" w:rsidRPr="00121CA2" w:rsidRDefault="00C4612C" w:rsidP="00C4612C">
      <w:pPr>
        <w:pStyle w:val="Default"/>
        <w:tabs>
          <w:tab w:val="left" w:pos="0"/>
        </w:tabs>
        <w:ind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3. Za najkorzystniejszą zostanie uznana oferta, która uzyska największą liczbę punktów, po zsumowaniu punktów uzyskanych przez ofertę w każdym z wyszczególnionych </w:t>
      </w:r>
      <w:proofErr w:type="spellStart"/>
      <w:r w:rsidRPr="00121CA2">
        <w:rPr>
          <w:rFonts w:ascii="Times New Roman" w:hAnsi="Times New Roman" w:cs="Times New Roman"/>
        </w:rPr>
        <w:t>podkryteriów</w:t>
      </w:r>
      <w:proofErr w:type="spellEnd"/>
      <w:r w:rsidRPr="00121CA2">
        <w:rPr>
          <w:rFonts w:ascii="Times New Roman" w:hAnsi="Times New Roman" w:cs="Times New Roman"/>
        </w:rPr>
        <w:t xml:space="preserve">. </w:t>
      </w:r>
    </w:p>
    <w:p w:rsidR="00C4612C" w:rsidRPr="00121CA2" w:rsidRDefault="00C4612C" w:rsidP="00C4612C">
      <w:pPr>
        <w:pStyle w:val="Default"/>
        <w:tabs>
          <w:tab w:val="left" w:pos="0"/>
        </w:tabs>
        <w:ind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4. Jeżeli nie można wybrać oferty najkorzystniejszej z uwagi na to, że dwie lub więcej ofert przedstawia taką samą sumę punktów, zamawiający spośród tych ofert wybiera ofertę z niższą ceną.</w:t>
      </w:r>
    </w:p>
    <w:p w:rsidR="00C4612C" w:rsidRPr="00121CA2" w:rsidRDefault="00C4612C" w:rsidP="00C4612C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:rsidR="00C4612C" w:rsidRPr="00121CA2" w:rsidRDefault="00C4612C" w:rsidP="00C4612C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21CA2">
        <w:rPr>
          <w:rFonts w:ascii="Times New Roman" w:hAnsi="Times New Roman"/>
          <w:b/>
          <w:bCs/>
          <w:sz w:val="24"/>
          <w:szCs w:val="24"/>
        </w:rPr>
        <w:lastRenderedPageBreak/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:rsidR="00C4612C" w:rsidRPr="00121CA2" w:rsidRDefault="00C4612C" w:rsidP="00C4612C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  <w:b/>
        </w:rPr>
      </w:pPr>
      <w:r w:rsidRPr="00121CA2">
        <w:rPr>
          <w:rFonts w:ascii="Times New Roman" w:hAnsi="Times New Roman" w:cs="Times New Roman"/>
          <w:b/>
        </w:rPr>
        <w:t>Sposób dokonania oceny</w:t>
      </w:r>
    </w:p>
    <w:p w:rsidR="00C4612C" w:rsidRPr="00121CA2" w:rsidRDefault="00C4612C" w:rsidP="00C4612C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:rsidR="00C4612C" w:rsidRPr="00121CA2" w:rsidRDefault="00C4612C" w:rsidP="00C4612C">
      <w:pPr>
        <w:pStyle w:val="Default"/>
        <w:numPr>
          <w:ilvl w:val="0"/>
          <w:numId w:val="37"/>
        </w:numPr>
        <w:tabs>
          <w:tab w:val="left" w:pos="0"/>
        </w:tabs>
        <w:ind w:left="0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Dla kryterium „cena” = 60%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Punktacja za kryterium cena zostanie wyliczona według powyższego wzoru z tabeli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Najwyższą liczbę punktów otrzyma oferta z najniższą ceną brutto. 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Maksymalnie można uzyskać w tym kryterium 60 punktów.</w:t>
      </w:r>
    </w:p>
    <w:p w:rsidR="00C4612C" w:rsidRPr="00121CA2" w:rsidRDefault="00C4612C" w:rsidP="00C4612C">
      <w:pPr>
        <w:pStyle w:val="Default"/>
        <w:numPr>
          <w:ilvl w:val="0"/>
          <w:numId w:val="37"/>
        </w:numPr>
        <w:tabs>
          <w:tab w:val="left" w:pos="0"/>
        </w:tabs>
        <w:ind w:left="0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Dla kryterium „Ocena opisowego projektu przygotowania </w:t>
      </w:r>
      <w:proofErr w:type="spellStart"/>
      <w:r w:rsidRPr="00121CA2">
        <w:rPr>
          <w:rFonts w:ascii="Times New Roman" w:hAnsi="Times New Roman" w:cs="Times New Roman"/>
        </w:rPr>
        <w:t>kontentu</w:t>
      </w:r>
      <w:proofErr w:type="spellEnd"/>
      <w:r w:rsidRPr="00121CA2">
        <w:rPr>
          <w:rFonts w:ascii="Times New Roman" w:hAnsi="Times New Roman" w:cs="Times New Roman"/>
        </w:rPr>
        <w:t xml:space="preserve"> na potrzeby stanowiska A.3” – 40%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Zamawiający dokona oceny opisowego projektu przygotowania </w:t>
      </w:r>
      <w:proofErr w:type="spellStart"/>
      <w:r w:rsidRPr="00121CA2">
        <w:rPr>
          <w:rFonts w:ascii="Times New Roman" w:hAnsi="Times New Roman" w:cs="Times New Roman"/>
        </w:rPr>
        <w:t>kontentu</w:t>
      </w:r>
      <w:proofErr w:type="spellEnd"/>
      <w:r w:rsidRPr="00121CA2">
        <w:rPr>
          <w:rFonts w:ascii="Times New Roman" w:hAnsi="Times New Roman" w:cs="Times New Roman"/>
        </w:rPr>
        <w:t xml:space="preserve"> na potrzeby stanowiska A.3 (zwany dalej projektem) stanowiącego obowiązkowy załącznik do oferty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Przez projekt Zamawiający rozumie przygotowany w wersji wydruku papierowego w formacie A4 lub A3 dokument zawierający </w:t>
      </w:r>
      <w:r w:rsidRPr="00121CA2">
        <w:rPr>
          <w:rFonts w:ascii="Times New Roman" w:hAnsi="Times New Roman" w:cs="Times New Roman"/>
          <w:b/>
          <w:color w:val="auto"/>
        </w:rPr>
        <w:t>część opisową</w:t>
      </w:r>
      <w:r w:rsidRPr="00121CA2">
        <w:rPr>
          <w:rFonts w:ascii="Times New Roman" w:hAnsi="Times New Roman" w:cs="Times New Roman"/>
          <w:color w:val="auto"/>
        </w:rPr>
        <w:t xml:space="preserve"> </w:t>
      </w:r>
      <w:r w:rsidRPr="00121CA2">
        <w:rPr>
          <w:rFonts w:ascii="Times New Roman" w:hAnsi="Times New Roman" w:cs="Times New Roman"/>
        </w:rPr>
        <w:t xml:space="preserve">służącą do scharakteryzowania podstawowych funkcji przygotowywanej aplikacji (podstawowe założenia, schemat działania i obsługi, sposób wykonania, opis zastosowanych rozwiązań technologicznych i oprogramowania) składającej się z maksymalnie 8 tysięcy znaków, oraz </w:t>
      </w:r>
      <w:r w:rsidRPr="00121CA2">
        <w:rPr>
          <w:rFonts w:ascii="Times New Roman" w:hAnsi="Times New Roman" w:cs="Times New Roman"/>
          <w:b/>
        </w:rPr>
        <w:t>część graficzną</w:t>
      </w:r>
      <w:r w:rsidRPr="00121CA2">
        <w:rPr>
          <w:rFonts w:ascii="Times New Roman" w:hAnsi="Times New Roman" w:cs="Times New Roman"/>
        </w:rPr>
        <w:t xml:space="preserve"> będącą ilustracyjnym uzupełnieniem części opisowej, składającą się z maksymalnie 8 plików graficznych.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W ramach niniejszego kryterium pod uwagę będą brane następujące elementy, które będą oceniane wg tzw. „małych punktów” w 4 podkategoriach</w:t>
      </w:r>
    </w:p>
    <w:p w:rsidR="00C4612C" w:rsidRPr="00121CA2" w:rsidRDefault="00C4612C" w:rsidP="00C4612C">
      <w:pPr>
        <w:pStyle w:val="Default"/>
        <w:numPr>
          <w:ilvl w:val="2"/>
          <w:numId w:val="3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atrakcyjność opracowania graficznego – uwzględniająca takie elementy jak: estetyka wykonania komunikatów, estetyka wykonania elementów graficznych, estetyka wykonania elementów ruchomych, kolorystyka, atrakcyjność wizualna zachęcająca do korzystania z aplikacji. </w:t>
      </w:r>
      <w:proofErr w:type="spellStart"/>
      <w:r w:rsidRPr="00121CA2">
        <w:rPr>
          <w:rFonts w:ascii="Times New Roman" w:hAnsi="Times New Roman" w:cs="Times New Roman"/>
        </w:rPr>
        <w:t>Podkryterium</w:t>
      </w:r>
      <w:proofErr w:type="spellEnd"/>
      <w:r w:rsidRPr="00121CA2">
        <w:rPr>
          <w:rFonts w:ascii="Times New Roman" w:hAnsi="Times New Roman" w:cs="Times New Roman"/>
        </w:rPr>
        <w:t xml:space="preserve"> to oceniane będzie w skali od 1 do 5 punktów, gdzie:</w:t>
      </w:r>
    </w:p>
    <w:p w:rsidR="00C4612C" w:rsidRPr="00121CA2" w:rsidRDefault="00C4612C" w:rsidP="00C4612C">
      <w:pPr>
        <w:pStyle w:val="Default"/>
        <w:tabs>
          <w:tab w:val="left" w:pos="851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1 punkt dla oceny niedostateczne</w:t>
      </w:r>
    </w:p>
    <w:p w:rsidR="00C4612C" w:rsidRPr="00121CA2" w:rsidRDefault="00C4612C" w:rsidP="00C4612C">
      <w:pPr>
        <w:pStyle w:val="Default"/>
        <w:tabs>
          <w:tab w:val="left" w:pos="851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2 punkty dla oceny dostateczne</w:t>
      </w:r>
    </w:p>
    <w:p w:rsidR="00C4612C" w:rsidRPr="00121CA2" w:rsidRDefault="00C4612C" w:rsidP="00C4612C">
      <w:pPr>
        <w:pStyle w:val="Default"/>
        <w:tabs>
          <w:tab w:val="left" w:pos="851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3 punkty dla oceny dobra</w:t>
      </w:r>
    </w:p>
    <w:p w:rsidR="00C4612C" w:rsidRPr="00121CA2" w:rsidRDefault="00C4612C" w:rsidP="00C4612C">
      <w:pPr>
        <w:pStyle w:val="Default"/>
        <w:tabs>
          <w:tab w:val="left" w:pos="851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4 punkty dla oceny bardzo dobra</w:t>
      </w:r>
    </w:p>
    <w:p w:rsidR="00C4612C" w:rsidRPr="00121CA2" w:rsidRDefault="00C4612C" w:rsidP="00C4612C">
      <w:pPr>
        <w:pStyle w:val="Default"/>
        <w:tabs>
          <w:tab w:val="left" w:pos="851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5 punktów dla oceny doskonała</w:t>
      </w:r>
    </w:p>
    <w:p w:rsidR="00C4612C" w:rsidRPr="00121CA2" w:rsidRDefault="00C4612C" w:rsidP="00C4612C">
      <w:pPr>
        <w:pStyle w:val="Default"/>
        <w:numPr>
          <w:ilvl w:val="2"/>
          <w:numId w:val="3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funkcjonalność - uwzględniająca takie elementy jak: łatwość korzystania z aplikacji, sposób obsługi, dostosowanie komunikatów dla różnych grup wiekowych odbiorców, czas trwania interakcji dopasowany do trwania zwiedzania całości wystawy, różnorodność możliwości wykorzystania i obsługi. </w:t>
      </w:r>
      <w:proofErr w:type="spellStart"/>
      <w:r w:rsidRPr="00121CA2">
        <w:rPr>
          <w:rFonts w:ascii="Times New Roman" w:hAnsi="Times New Roman" w:cs="Times New Roman"/>
        </w:rPr>
        <w:t>Podkryterium</w:t>
      </w:r>
      <w:proofErr w:type="spellEnd"/>
      <w:r w:rsidRPr="00121CA2">
        <w:rPr>
          <w:rFonts w:ascii="Times New Roman" w:hAnsi="Times New Roman" w:cs="Times New Roman"/>
        </w:rPr>
        <w:t xml:space="preserve"> to oceniane będzie w skali od 1 do 5 punktów, gdzie:</w:t>
      </w:r>
    </w:p>
    <w:p w:rsidR="00C4612C" w:rsidRPr="00121CA2" w:rsidRDefault="00C4612C" w:rsidP="00C4612C">
      <w:pPr>
        <w:pStyle w:val="Default"/>
        <w:tabs>
          <w:tab w:val="left" w:pos="709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1 punkt dla oceny niedostateczne</w:t>
      </w:r>
    </w:p>
    <w:p w:rsidR="00C4612C" w:rsidRPr="00121CA2" w:rsidRDefault="00C4612C" w:rsidP="00C4612C">
      <w:pPr>
        <w:pStyle w:val="Default"/>
        <w:tabs>
          <w:tab w:val="left" w:pos="709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2 punkty dla oceny dostateczne</w:t>
      </w:r>
    </w:p>
    <w:p w:rsidR="00C4612C" w:rsidRPr="00121CA2" w:rsidRDefault="00C4612C" w:rsidP="00C4612C">
      <w:pPr>
        <w:pStyle w:val="Default"/>
        <w:tabs>
          <w:tab w:val="left" w:pos="709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3 punkty dla oceny dobra</w:t>
      </w:r>
    </w:p>
    <w:p w:rsidR="00C4612C" w:rsidRPr="00121CA2" w:rsidRDefault="00C4612C" w:rsidP="00C4612C">
      <w:pPr>
        <w:pStyle w:val="Default"/>
        <w:tabs>
          <w:tab w:val="left" w:pos="709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4 punkty dla oceny bardzo dobra</w:t>
      </w:r>
    </w:p>
    <w:p w:rsidR="00C4612C" w:rsidRPr="00121CA2" w:rsidRDefault="00C4612C" w:rsidP="00C4612C">
      <w:pPr>
        <w:pStyle w:val="Default"/>
        <w:tabs>
          <w:tab w:val="left" w:pos="709"/>
        </w:tabs>
        <w:ind w:left="851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5 punktów dla oceny doskonała</w:t>
      </w:r>
    </w:p>
    <w:p w:rsidR="00C4612C" w:rsidRPr="00121CA2" w:rsidRDefault="00C4612C" w:rsidP="00C4612C">
      <w:pPr>
        <w:pStyle w:val="Default"/>
        <w:numPr>
          <w:ilvl w:val="2"/>
          <w:numId w:val="3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innowacyjność - uwzględniająca takie elementy jak: wykorzystanie nowoczesnych metod obsługi, pełne wykorzystanie możliwości sprzętu prezentującego, zastosowanie nowoczesnych elementów graficznych i sposobów animacji, sposób </w:t>
      </w:r>
      <w:proofErr w:type="spellStart"/>
      <w:r w:rsidRPr="00121CA2">
        <w:rPr>
          <w:rFonts w:ascii="Times New Roman" w:hAnsi="Times New Roman" w:cs="Times New Roman"/>
        </w:rPr>
        <w:t>połaczenia</w:t>
      </w:r>
      <w:proofErr w:type="spellEnd"/>
      <w:r w:rsidRPr="00121CA2">
        <w:rPr>
          <w:rFonts w:ascii="Times New Roman" w:hAnsi="Times New Roman" w:cs="Times New Roman"/>
        </w:rPr>
        <w:t xml:space="preserve"> funkcjonalności aplikacji z siecią </w:t>
      </w:r>
      <w:proofErr w:type="spellStart"/>
      <w:r w:rsidRPr="00121CA2">
        <w:rPr>
          <w:rFonts w:ascii="Times New Roman" w:hAnsi="Times New Roman" w:cs="Times New Roman"/>
        </w:rPr>
        <w:t>internet</w:t>
      </w:r>
      <w:proofErr w:type="spellEnd"/>
      <w:r w:rsidRPr="00121CA2">
        <w:rPr>
          <w:rFonts w:ascii="Times New Roman" w:hAnsi="Times New Roman" w:cs="Times New Roman"/>
        </w:rPr>
        <w:t xml:space="preserve">, możliwość wprowadzania zmian, obsługa zewnętrzna za pomocą sieci Ethernet i możliwość zdalnego wprowadzania zmian i dokonywania napraw. </w:t>
      </w:r>
      <w:proofErr w:type="spellStart"/>
      <w:r w:rsidRPr="00121CA2">
        <w:rPr>
          <w:rFonts w:ascii="Times New Roman" w:hAnsi="Times New Roman" w:cs="Times New Roman"/>
        </w:rPr>
        <w:t>Podkryterium</w:t>
      </w:r>
      <w:proofErr w:type="spellEnd"/>
      <w:r w:rsidRPr="00121CA2">
        <w:rPr>
          <w:rFonts w:ascii="Times New Roman" w:hAnsi="Times New Roman" w:cs="Times New Roman"/>
        </w:rPr>
        <w:t xml:space="preserve"> to oceniane będzie w skali od 1 do 5 punktów, gdzie:</w:t>
      </w:r>
    </w:p>
    <w:p w:rsidR="00C4612C" w:rsidRPr="00121CA2" w:rsidRDefault="00C4612C" w:rsidP="00C4612C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1 punkt dla oceny niedostateczne</w:t>
      </w:r>
    </w:p>
    <w:p w:rsidR="00C4612C" w:rsidRPr="00121CA2" w:rsidRDefault="00C4612C" w:rsidP="00C4612C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2 punkty dla oceny dostateczne</w:t>
      </w:r>
    </w:p>
    <w:p w:rsidR="00C4612C" w:rsidRPr="00121CA2" w:rsidRDefault="00C4612C" w:rsidP="00C4612C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3 punkty dla oceny dobra</w:t>
      </w:r>
    </w:p>
    <w:p w:rsidR="00C4612C" w:rsidRPr="00121CA2" w:rsidRDefault="00C4612C" w:rsidP="00C4612C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lastRenderedPageBreak/>
        <w:t>4 punkty dla oceny bardzo dobra</w:t>
      </w:r>
    </w:p>
    <w:p w:rsidR="00C4612C" w:rsidRPr="00121CA2" w:rsidRDefault="00C4612C" w:rsidP="00C4612C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5 punktów dla oceny doskonała</w:t>
      </w:r>
    </w:p>
    <w:p w:rsidR="00C4612C" w:rsidRPr="00121CA2" w:rsidRDefault="00C4612C" w:rsidP="00C4612C">
      <w:pPr>
        <w:pStyle w:val="Default"/>
        <w:numPr>
          <w:ilvl w:val="2"/>
          <w:numId w:val="3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eastAsia="Times New Roman" w:hAnsi="Times New Roman" w:cs="Times New Roman"/>
        </w:rPr>
        <w:t xml:space="preserve">spójności </w:t>
      </w:r>
      <w:proofErr w:type="spellStart"/>
      <w:r w:rsidRPr="00121CA2">
        <w:rPr>
          <w:rFonts w:ascii="Times New Roman" w:eastAsia="Times New Roman" w:hAnsi="Times New Roman" w:cs="Times New Roman"/>
        </w:rPr>
        <w:t>kontentu</w:t>
      </w:r>
      <w:proofErr w:type="spellEnd"/>
      <w:r w:rsidRPr="00121CA2">
        <w:rPr>
          <w:rFonts w:ascii="Times New Roman" w:eastAsia="Times New Roman" w:hAnsi="Times New Roman" w:cs="Times New Roman"/>
        </w:rPr>
        <w:t xml:space="preserve"> z projektem aranżacji wystawy</w:t>
      </w:r>
      <w:r w:rsidRPr="00121CA2">
        <w:rPr>
          <w:rFonts w:ascii="Times New Roman" w:hAnsi="Times New Roman" w:cs="Times New Roman"/>
        </w:rPr>
        <w:t xml:space="preserve"> - uwzględniająca takie elementy jak: dobór rozwiązań graficznych pod kątem całości wystawy, zgodność typograficzna z elementami informacyjnymi wystawy, dobór kolorystyki i elementów graficznych pod kątem całości wystawy, dopasowanie rozwiązań graficznych do walorów architektonicznych pomieszczenia, zgodność funkcjonalności i przeznaczenia aplikacji z założeniami w projekcie aranżacji wystawy, zgodność sprzętowa pod kątem komputerów i sprzętu multimedialnego przeznaczonego na potrzeby aplikacji. </w:t>
      </w:r>
      <w:proofErr w:type="spellStart"/>
      <w:r w:rsidRPr="00121CA2">
        <w:rPr>
          <w:rFonts w:ascii="Times New Roman" w:hAnsi="Times New Roman" w:cs="Times New Roman"/>
        </w:rPr>
        <w:t>Podkryterium</w:t>
      </w:r>
      <w:proofErr w:type="spellEnd"/>
      <w:r w:rsidRPr="00121CA2">
        <w:rPr>
          <w:rFonts w:ascii="Times New Roman" w:hAnsi="Times New Roman" w:cs="Times New Roman"/>
        </w:rPr>
        <w:t xml:space="preserve"> to oceniane będzie w skali od 1 do 5 punktów, gdzie:</w:t>
      </w:r>
    </w:p>
    <w:p w:rsidR="00C4612C" w:rsidRPr="00121CA2" w:rsidRDefault="00C4612C" w:rsidP="00C4612C">
      <w:pPr>
        <w:pStyle w:val="Default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1 punkt dla oceny niedostateczne</w:t>
      </w:r>
    </w:p>
    <w:p w:rsidR="00C4612C" w:rsidRPr="00121CA2" w:rsidRDefault="00C4612C" w:rsidP="00C4612C">
      <w:pPr>
        <w:pStyle w:val="Default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2 punkty dla oceny dostateczne</w:t>
      </w:r>
    </w:p>
    <w:p w:rsidR="00C4612C" w:rsidRPr="00121CA2" w:rsidRDefault="00C4612C" w:rsidP="00C4612C">
      <w:pPr>
        <w:pStyle w:val="Default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3 punkty dla oceny dobra</w:t>
      </w:r>
    </w:p>
    <w:p w:rsidR="00C4612C" w:rsidRPr="00121CA2" w:rsidRDefault="00C4612C" w:rsidP="00C4612C">
      <w:pPr>
        <w:pStyle w:val="Default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4 punkty dla oceny bardzo dobra</w:t>
      </w:r>
    </w:p>
    <w:p w:rsidR="00C4612C" w:rsidRPr="00121CA2" w:rsidRDefault="00C4612C" w:rsidP="00C4612C">
      <w:pPr>
        <w:pStyle w:val="Default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5 punktów dla oceny doskonała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Suma punktów dla każdej oferty obliczona będzie w ten sposób, że członek komisji przetargowej dokonujący oceny lub osoba powołana do funkcji „biegłego specjalisty” przyzna pisemnie na specjalnie przygotowanej karcie oceny od 1 do 5 tzw. „małych punktów” dla dokonania indywidualnej oceny każdego z </w:t>
      </w:r>
      <w:proofErr w:type="spellStart"/>
      <w:r w:rsidRPr="00121CA2">
        <w:rPr>
          <w:rFonts w:ascii="Times New Roman" w:hAnsi="Times New Roman" w:cs="Times New Roman"/>
        </w:rPr>
        <w:t>podkryteriów</w:t>
      </w:r>
      <w:proofErr w:type="spellEnd"/>
      <w:r w:rsidRPr="00121CA2">
        <w:rPr>
          <w:rFonts w:ascii="Times New Roman" w:hAnsi="Times New Roman" w:cs="Times New Roman"/>
        </w:rPr>
        <w:t>.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Sumą punktów dla każdego z </w:t>
      </w:r>
      <w:proofErr w:type="spellStart"/>
      <w:r w:rsidRPr="00121CA2">
        <w:rPr>
          <w:rFonts w:ascii="Times New Roman" w:hAnsi="Times New Roman" w:cs="Times New Roman"/>
        </w:rPr>
        <w:t>podkryteriów</w:t>
      </w:r>
      <w:proofErr w:type="spellEnd"/>
      <w:r w:rsidRPr="00121CA2">
        <w:rPr>
          <w:rFonts w:ascii="Times New Roman" w:hAnsi="Times New Roman" w:cs="Times New Roman"/>
        </w:rPr>
        <w:t xml:space="preserve"> będzie średnia arytmetyczna tzw. „małych punktów” przyznanych przez wszystkich członków komisji oraz biegłego specjalistę. Liczby tych punktów zostaną dodane do siebie, a następnie podzielone przez liczbę osób głosujących, dając w ten sposób ocenę punktową danego </w:t>
      </w:r>
      <w:proofErr w:type="spellStart"/>
      <w:r w:rsidRPr="00121CA2">
        <w:rPr>
          <w:rFonts w:ascii="Times New Roman" w:hAnsi="Times New Roman" w:cs="Times New Roman"/>
        </w:rPr>
        <w:t>podkryterium</w:t>
      </w:r>
      <w:proofErr w:type="spellEnd"/>
      <w:r w:rsidRPr="00121CA2">
        <w:rPr>
          <w:rFonts w:ascii="Times New Roman" w:hAnsi="Times New Roman" w:cs="Times New Roman"/>
        </w:rPr>
        <w:t>.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Suma ocen punktowych wszystkich czterech </w:t>
      </w:r>
      <w:proofErr w:type="spellStart"/>
      <w:r w:rsidRPr="00121CA2">
        <w:rPr>
          <w:rFonts w:ascii="Times New Roman" w:hAnsi="Times New Roman" w:cs="Times New Roman"/>
        </w:rPr>
        <w:t>podkryteriów</w:t>
      </w:r>
      <w:proofErr w:type="spellEnd"/>
      <w:r w:rsidRPr="00121CA2">
        <w:rPr>
          <w:rFonts w:ascii="Times New Roman" w:hAnsi="Times New Roman" w:cs="Times New Roman"/>
        </w:rPr>
        <w:t xml:space="preserve"> stanowić będzie sumę punktów stanowiących właściwą ocenę kryterium. 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Punktacja za kryterium zostanie wyliczona według wzoru podanego w tabeli. 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Najwyższa suma punktów w kryterium, będąca elementem składowym wzoru podanego w tabeli, wynosi 20 punktów i jest najwyższą możliwą sumą ocen wszystkich czterech </w:t>
      </w:r>
      <w:proofErr w:type="spellStart"/>
      <w:r w:rsidRPr="00121CA2">
        <w:rPr>
          <w:rFonts w:ascii="Times New Roman" w:hAnsi="Times New Roman" w:cs="Times New Roman"/>
        </w:rPr>
        <w:t>podkryteriów</w:t>
      </w:r>
      <w:proofErr w:type="spellEnd"/>
      <w:r w:rsidRPr="00121CA2">
        <w:rPr>
          <w:rFonts w:ascii="Times New Roman" w:hAnsi="Times New Roman" w:cs="Times New Roman"/>
        </w:rPr>
        <w:t>.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Ostateczna ilość punktów w kryterium zostanie wyliczona na podstawie wzoru podanego w tabeli (iloraz uzyskanej sumy punktów w kryterium przez maksymalną sumę punktów w kryterium razy 40). </w:t>
      </w:r>
    </w:p>
    <w:p w:rsidR="00C4612C" w:rsidRPr="00121CA2" w:rsidRDefault="00C4612C" w:rsidP="00C4612C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Maksymalny wynik wynosi 40 punktów.</w:t>
      </w:r>
    </w:p>
    <w:p w:rsidR="00C4612C" w:rsidRPr="00121CA2" w:rsidRDefault="00C4612C" w:rsidP="00C4612C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:rsidR="00C4612C" w:rsidRPr="003D7BB9" w:rsidRDefault="00C4612C" w:rsidP="00C4612C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21CA2"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:rsidR="00C4612C" w:rsidRPr="003D7BB9" w:rsidRDefault="00C4612C" w:rsidP="00C4612C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  <w:b/>
        </w:rPr>
      </w:pPr>
      <w:r w:rsidRPr="003D7BB9">
        <w:rPr>
          <w:rFonts w:ascii="Times New Roman" w:hAnsi="Times New Roman" w:cs="Times New Roman"/>
          <w:b/>
        </w:rPr>
        <w:t>Komisja oceniająca</w:t>
      </w:r>
    </w:p>
    <w:p w:rsidR="00C4612C" w:rsidRPr="00121CA2" w:rsidRDefault="00C4612C" w:rsidP="00C4612C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Komisja dokonująca oceny projektów składa się z 5 członków powołanych przez Zamawiającego.</w:t>
      </w: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Zamawiający powołuje członków komisji imiennie, w sposób pisemny.</w:t>
      </w: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W skład komisji wchodzi 3 pracowników Zamawiającego, przedstawiciel projektanta aranżacji wystawy oraz biegły specjalista w</w:t>
      </w:r>
      <w:r w:rsidRPr="00121CA2">
        <w:rPr>
          <w:rFonts w:ascii="Times New Roman" w:eastAsia="Times New Roman" w:hAnsi="Times New Roman" w:cs="Times New Roman"/>
        </w:rPr>
        <w:t xml:space="preserve"> dziedzinie wystawiennictwa i przygotowywania ekspozycji muzealnych.</w:t>
      </w: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Osoba powołana na stanowisko biegłego specjalisty powinna posiadać wykształcenie w zakresie muzealnictwa oraz doświadczenie w zakresie pracy muzealnej, przygotowywania i aranżacji wystaw.</w:t>
      </w: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Spośród członków komisji powoływana jest osoba pełniąca funkcję protokolanta. Do jej obowiązków należy sporządzenie protokołu z obrad komisji.</w:t>
      </w: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Komisja dokonuje oceny wg. punktacji określonej niniejszym regulaminem, w formie pisemnej, na </w:t>
      </w:r>
      <w:r w:rsidRPr="00121CA2">
        <w:rPr>
          <w:rFonts w:ascii="Times New Roman" w:hAnsi="Times New Roman" w:cs="Times New Roman"/>
        </w:rPr>
        <w:lastRenderedPageBreak/>
        <w:t>przygotowanych wcześniej blankietach.</w:t>
      </w: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Blankiety wypełnione przez wszystkich członków komisji są przekazywane protokolantowi, który każdorazowo sumuje tzw. „małe punkty” dokonuje innych obliczeń przewidzianych regulaminem. Sumę punktów uzyskanych w trakcie oceny protokolant wpisuje na przygotowanej wcześniej karcie oceny, którą w obecności komisji ma obowiązek dołączyć do projektu.</w:t>
      </w:r>
    </w:p>
    <w:p w:rsidR="00C4612C" w:rsidRPr="00121CA2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Komisja kończy swą pracę w momencie zakończenie oceny wszystkich projektów przedłożonych do oceny.</w:t>
      </w:r>
    </w:p>
    <w:p w:rsidR="00C4612C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 xml:space="preserve">Członkowie komisji mogą przyznawać punkty tylko i wyłącznie w oparciu o ustalenia niniejszego regulaminu. Procedura nie przewiduje możliwości przyznawania punktów zerowych ani wstrzymania się od głosu.  </w:t>
      </w:r>
    </w:p>
    <w:p w:rsidR="00C4612C" w:rsidRPr="003D7BB9" w:rsidRDefault="00C4612C" w:rsidP="00C4612C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3D7BB9">
        <w:rPr>
          <w:rFonts w:ascii="Times New Roman" w:hAnsi="Times New Roman" w:cs="Times New Roman"/>
        </w:rPr>
        <w:t>W przypadku nieobecności któregoś z członków komisji, Zamawiający ma prawo powołać w jego miejsce inną osobę, z zachowaniem zasady pisemnego powiadomienia o powołaniu.</w:t>
      </w:r>
    </w:p>
    <w:p w:rsidR="00C4612C" w:rsidRPr="00121CA2" w:rsidRDefault="00C4612C" w:rsidP="00C4612C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:rsidR="00C4612C" w:rsidRPr="00121CA2" w:rsidRDefault="00C4612C" w:rsidP="00C4612C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21CA2"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:rsidR="00C4612C" w:rsidRPr="003D7BB9" w:rsidRDefault="00C4612C" w:rsidP="00C4612C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Zatwierdzenie wyniku oceny</w:t>
      </w:r>
    </w:p>
    <w:p w:rsidR="00C4612C" w:rsidRPr="00121CA2" w:rsidRDefault="00C4612C" w:rsidP="00C4612C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:rsidR="00C4612C" w:rsidRPr="00121CA2" w:rsidRDefault="00C4612C" w:rsidP="00C4612C">
      <w:pPr>
        <w:pStyle w:val="Default"/>
        <w:numPr>
          <w:ilvl w:val="0"/>
          <w:numId w:val="39"/>
        </w:numPr>
        <w:tabs>
          <w:tab w:val="left" w:pos="0"/>
        </w:tabs>
        <w:ind w:left="0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Protokół z prac komisji zawierający ocenę poszczególnych projektów, wraz z kartami oceny projektów oraz blankietami do głosowania zostanie przekazany do zatwierdzenia dyrektorowi Zamawiającego.</w:t>
      </w:r>
    </w:p>
    <w:p w:rsidR="00C4612C" w:rsidRPr="00121CA2" w:rsidRDefault="00C4612C" w:rsidP="00C4612C">
      <w:pPr>
        <w:pStyle w:val="Default"/>
        <w:numPr>
          <w:ilvl w:val="0"/>
          <w:numId w:val="39"/>
        </w:numPr>
        <w:tabs>
          <w:tab w:val="left" w:pos="0"/>
        </w:tabs>
        <w:ind w:left="0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Po zatwierdzeniu protokołu, zostanie on przekazany do Działu Zamówień Publicznych w terminie do 3 dni roboczych od dnia, w którym obradowała komisja.</w:t>
      </w:r>
    </w:p>
    <w:p w:rsidR="00C4612C" w:rsidRPr="00121CA2" w:rsidRDefault="00C4612C" w:rsidP="00C4612C">
      <w:pPr>
        <w:pStyle w:val="Default"/>
        <w:numPr>
          <w:ilvl w:val="0"/>
          <w:numId w:val="39"/>
        </w:numPr>
        <w:tabs>
          <w:tab w:val="left" w:pos="0"/>
        </w:tabs>
        <w:ind w:left="0" w:hanging="284"/>
        <w:jc w:val="both"/>
        <w:rPr>
          <w:rFonts w:ascii="Times New Roman" w:hAnsi="Times New Roman" w:cs="Times New Roman"/>
        </w:rPr>
      </w:pPr>
      <w:r w:rsidRPr="00121CA2">
        <w:rPr>
          <w:rFonts w:ascii="Times New Roman" w:hAnsi="Times New Roman" w:cs="Times New Roman"/>
        </w:rPr>
        <w:t>Zatwierdzony Protokół z prac komisji wraz z załącznikami stanowi podstawę do przyznania ostatecznej oceny punktowej oferty i zakończenia procedury wyboru najkorzystniejszej oferty.</w:t>
      </w:r>
    </w:p>
    <w:p w:rsidR="00C4612C" w:rsidRPr="00121CA2" w:rsidRDefault="00C4612C" w:rsidP="00C4612C">
      <w:pPr>
        <w:tabs>
          <w:tab w:val="left" w:pos="0"/>
        </w:tabs>
        <w:ind w:hanging="284"/>
        <w:jc w:val="both"/>
        <w:rPr>
          <w:rFonts w:ascii="Times New Roman" w:hAnsi="Times New Roman"/>
          <w:sz w:val="24"/>
          <w:szCs w:val="24"/>
        </w:rPr>
      </w:pPr>
    </w:p>
    <w:p w:rsidR="00C4612C" w:rsidRPr="00121CA2" w:rsidRDefault="00C4612C" w:rsidP="00C4612C">
      <w:pPr>
        <w:tabs>
          <w:tab w:val="left" w:pos="0"/>
        </w:tabs>
        <w:ind w:hanging="284"/>
        <w:jc w:val="both"/>
        <w:rPr>
          <w:rFonts w:ascii="Times New Roman" w:hAnsi="Times New Roman"/>
          <w:sz w:val="24"/>
          <w:szCs w:val="24"/>
        </w:rPr>
      </w:pPr>
    </w:p>
    <w:p w:rsidR="00C4612C" w:rsidRDefault="00C4612C" w:rsidP="00C4612C"/>
    <w:p w:rsidR="00AF6CFD" w:rsidRPr="0055750D" w:rsidRDefault="00AF6CFD" w:rsidP="0055750D"/>
    <w:sectPr w:rsidR="00AF6CFD" w:rsidRPr="0055750D" w:rsidSect="00A709D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127" w:right="849" w:bottom="2127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05" w:rsidRDefault="00DD5705" w:rsidP="0076796D">
      <w:pPr>
        <w:spacing w:after="0" w:line="240" w:lineRule="auto"/>
      </w:pPr>
      <w:r>
        <w:separator/>
      </w:r>
    </w:p>
  </w:endnote>
  <w:endnote w:type="continuationSeparator" w:id="0">
    <w:p w:rsidR="00DD5705" w:rsidRDefault="00DD5705" w:rsidP="0076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360" w:rsidRDefault="00C25DE8" w:rsidP="00C25DE8">
    <w:pPr>
      <w:pStyle w:val="Stopka"/>
      <w:ind w:left="-426"/>
    </w:pPr>
    <w:r>
      <w:rPr>
        <w:noProof/>
        <w:lang w:eastAsia="pl-PL"/>
      </w:rPr>
      <w:drawing>
        <wp:anchor distT="0" distB="0" distL="114300" distR="114300" simplePos="0" relativeHeight="251665920" behindDoc="0" locked="0" layoutInCell="1" allowOverlap="1" wp14:anchorId="6575A928" wp14:editId="6DE74A08">
          <wp:simplePos x="0" y="0"/>
          <wp:positionH relativeFrom="column">
            <wp:posOffset>2894965</wp:posOffset>
          </wp:positionH>
          <wp:positionV relativeFrom="paragraph">
            <wp:posOffset>-488950</wp:posOffset>
          </wp:positionV>
          <wp:extent cx="1342390" cy="640715"/>
          <wp:effectExtent l="0" t="0" r="0" b="6985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944" behindDoc="0" locked="0" layoutInCell="1" allowOverlap="1" wp14:anchorId="7B5DD6BD" wp14:editId="5A03F909">
          <wp:simplePos x="0" y="0"/>
          <wp:positionH relativeFrom="column">
            <wp:posOffset>4542790</wp:posOffset>
          </wp:positionH>
          <wp:positionV relativeFrom="paragraph">
            <wp:posOffset>-732155</wp:posOffset>
          </wp:positionV>
          <wp:extent cx="1861185" cy="1202055"/>
          <wp:effectExtent l="0" t="0" r="5715" b="0"/>
          <wp:wrapSquare wrapText="bothSides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1202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4896" behindDoc="0" locked="0" layoutInCell="1" allowOverlap="1" wp14:anchorId="14CC6759" wp14:editId="00A57557">
          <wp:simplePos x="0" y="0"/>
          <wp:positionH relativeFrom="column">
            <wp:posOffset>-191135</wp:posOffset>
          </wp:positionH>
          <wp:positionV relativeFrom="paragraph">
            <wp:posOffset>-571500</wp:posOffset>
          </wp:positionV>
          <wp:extent cx="3088640" cy="770255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864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B8" w:rsidRDefault="009A538C" w:rsidP="009A538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360E3770" wp14:editId="5A7182C7">
          <wp:simplePos x="0" y="0"/>
          <wp:positionH relativeFrom="column">
            <wp:posOffset>2910840</wp:posOffset>
          </wp:positionH>
          <wp:positionV relativeFrom="paragraph">
            <wp:posOffset>-441960</wp:posOffset>
          </wp:positionV>
          <wp:extent cx="1342390" cy="641985"/>
          <wp:effectExtent l="0" t="0" r="0" b="5715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4FB2E3E2" wp14:editId="1CDD3BE8">
          <wp:simplePos x="0" y="0"/>
          <wp:positionH relativeFrom="column">
            <wp:posOffset>-192405</wp:posOffset>
          </wp:positionH>
          <wp:positionV relativeFrom="paragraph">
            <wp:posOffset>-526415</wp:posOffset>
          </wp:positionV>
          <wp:extent cx="3088640" cy="770255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864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6E4FEED9" wp14:editId="0B8AE42F">
          <wp:simplePos x="0" y="0"/>
          <wp:positionH relativeFrom="column">
            <wp:posOffset>4422775</wp:posOffset>
          </wp:positionH>
          <wp:positionV relativeFrom="paragraph">
            <wp:posOffset>-722630</wp:posOffset>
          </wp:positionV>
          <wp:extent cx="1856740" cy="1205865"/>
          <wp:effectExtent l="0" t="0" r="0" b="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1205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05" w:rsidRDefault="00DD5705" w:rsidP="0076796D">
      <w:pPr>
        <w:spacing w:after="0" w:line="240" w:lineRule="auto"/>
      </w:pPr>
      <w:r>
        <w:separator/>
      </w:r>
    </w:p>
  </w:footnote>
  <w:footnote w:type="continuationSeparator" w:id="0">
    <w:p w:rsidR="00DD5705" w:rsidRDefault="00DD5705" w:rsidP="00767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C23" w:rsidRDefault="00C873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B09D195" wp14:editId="62BA06CF">
          <wp:simplePos x="0" y="0"/>
          <wp:positionH relativeFrom="column">
            <wp:posOffset>-630555</wp:posOffset>
          </wp:positionH>
          <wp:positionV relativeFrom="paragraph">
            <wp:posOffset>-75565</wp:posOffset>
          </wp:positionV>
          <wp:extent cx="7560310" cy="682625"/>
          <wp:effectExtent l="19050" t="0" r="2540" b="0"/>
          <wp:wrapThrough wrapText="bothSides">
            <wp:wrapPolygon edited="0">
              <wp:start x="-54" y="0"/>
              <wp:lineTo x="-54" y="21098"/>
              <wp:lineTo x="21607" y="21098"/>
              <wp:lineTo x="21607" y="0"/>
              <wp:lineTo x="-54" y="0"/>
            </wp:wrapPolygon>
          </wp:wrapThrough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1C8" w:rsidRDefault="00C873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5A4308F" wp14:editId="56E78D01">
          <wp:simplePos x="0" y="0"/>
          <wp:positionH relativeFrom="column">
            <wp:posOffset>-629920</wp:posOffset>
          </wp:positionH>
          <wp:positionV relativeFrom="paragraph">
            <wp:posOffset>-366395</wp:posOffset>
          </wp:positionV>
          <wp:extent cx="7560310" cy="1115695"/>
          <wp:effectExtent l="19050" t="0" r="254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5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67301" w:rsidRDefault="006673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B8" w:rsidRDefault="00C873E1" w:rsidP="001B7677">
    <w:pPr>
      <w:pStyle w:val="Nagwek"/>
      <w:tabs>
        <w:tab w:val="clear" w:pos="9072"/>
        <w:tab w:val="right" w:pos="9214"/>
      </w:tabs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2890BEC5" wp14:editId="53F340EA">
          <wp:simplePos x="0" y="0"/>
          <wp:positionH relativeFrom="column">
            <wp:posOffset>-622935</wp:posOffset>
          </wp:positionH>
          <wp:positionV relativeFrom="paragraph">
            <wp:posOffset>-360045</wp:posOffset>
          </wp:positionV>
          <wp:extent cx="7560310" cy="1344930"/>
          <wp:effectExtent l="19050" t="0" r="2540" b="0"/>
          <wp:wrapNone/>
          <wp:docPr id="1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344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41D"/>
    <w:multiLevelType w:val="hybridMultilevel"/>
    <w:tmpl w:val="2A7C23A4"/>
    <w:lvl w:ilvl="0" w:tplc="D58A89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316005"/>
    <w:multiLevelType w:val="hybridMultilevel"/>
    <w:tmpl w:val="C52E2640"/>
    <w:lvl w:ilvl="0" w:tplc="EE3CFE78">
      <w:start w:val="1"/>
      <w:numFmt w:val="decimal"/>
      <w:lvlText w:val="%1)"/>
      <w:lvlJc w:val="left"/>
      <w:pPr>
        <w:ind w:left="720" w:hanging="360"/>
      </w:pPr>
      <w:rPr>
        <w:rFonts w:eastAsia="TimesNewRoman,Bold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F42F1"/>
    <w:multiLevelType w:val="hybridMultilevel"/>
    <w:tmpl w:val="EF98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0A7A"/>
    <w:multiLevelType w:val="hybridMultilevel"/>
    <w:tmpl w:val="C6645C94"/>
    <w:lvl w:ilvl="0" w:tplc="3556B25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8850EC3"/>
    <w:multiLevelType w:val="hybridMultilevel"/>
    <w:tmpl w:val="06E843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762B0E"/>
    <w:multiLevelType w:val="hybridMultilevel"/>
    <w:tmpl w:val="1916C25A"/>
    <w:lvl w:ilvl="0" w:tplc="8E20EF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2F6D98"/>
    <w:multiLevelType w:val="hybridMultilevel"/>
    <w:tmpl w:val="D18A5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A44B2"/>
    <w:multiLevelType w:val="hybridMultilevel"/>
    <w:tmpl w:val="47E22916"/>
    <w:lvl w:ilvl="0" w:tplc="2E32C3A2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E441DC"/>
    <w:multiLevelType w:val="hybridMultilevel"/>
    <w:tmpl w:val="788ADC56"/>
    <w:lvl w:ilvl="0" w:tplc="0E2605B0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6F752F"/>
    <w:multiLevelType w:val="hybridMultilevel"/>
    <w:tmpl w:val="DF704FDC"/>
    <w:lvl w:ilvl="0" w:tplc="6756BEB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757886"/>
    <w:multiLevelType w:val="multilevel"/>
    <w:tmpl w:val="DE504B7E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"/>
      <w:numFmt w:val="decimalZero"/>
      <w:lvlText w:val="%1-%2"/>
      <w:lvlJc w:val="left"/>
      <w:pPr>
        <w:ind w:left="117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16" w:hanging="1800"/>
      </w:pPr>
      <w:rPr>
        <w:rFonts w:hint="default"/>
      </w:rPr>
    </w:lvl>
  </w:abstractNum>
  <w:abstractNum w:abstractNumId="11">
    <w:nsid w:val="16056F89"/>
    <w:multiLevelType w:val="hybridMultilevel"/>
    <w:tmpl w:val="40EC16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712A30"/>
    <w:multiLevelType w:val="hybridMultilevel"/>
    <w:tmpl w:val="6EBC8A2E"/>
    <w:lvl w:ilvl="0" w:tplc="ABE28D40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2688E"/>
    <w:multiLevelType w:val="hybridMultilevel"/>
    <w:tmpl w:val="436E33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3C08D5"/>
    <w:multiLevelType w:val="multilevel"/>
    <w:tmpl w:val="EBBE6EB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346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24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36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440"/>
      </w:pPr>
      <w:rPr>
        <w:rFonts w:hint="default"/>
      </w:rPr>
    </w:lvl>
  </w:abstractNum>
  <w:abstractNum w:abstractNumId="15">
    <w:nsid w:val="21A73BFC"/>
    <w:multiLevelType w:val="hybridMultilevel"/>
    <w:tmpl w:val="CA84D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4D24A0"/>
    <w:multiLevelType w:val="hybridMultilevel"/>
    <w:tmpl w:val="55C495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AF40553"/>
    <w:multiLevelType w:val="hybridMultilevel"/>
    <w:tmpl w:val="ED4CF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5174C0"/>
    <w:multiLevelType w:val="hybridMultilevel"/>
    <w:tmpl w:val="CF404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B49F7"/>
    <w:multiLevelType w:val="hybridMultilevel"/>
    <w:tmpl w:val="89922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6B358A"/>
    <w:multiLevelType w:val="hybridMultilevel"/>
    <w:tmpl w:val="48181D68"/>
    <w:lvl w:ilvl="0" w:tplc="40C42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D977CD"/>
    <w:multiLevelType w:val="multilevel"/>
    <w:tmpl w:val="D3E20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>
    <w:nsid w:val="3B5B4A99"/>
    <w:multiLevelType w:val="hybridMultilevel"/>
    <w:tmpl w:val="21504F4A"/>
    <w:lvl w:ilvl="0" w:tplc="432EA08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0F1EC4"/>
    <w:multiLevelType w:val="hybridMultilevel"/>
    <w:tmpl w:val="729E9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354690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13C31F6"/>
    <w:multiLevelType w:val="hybridMultilevel"/>
    <w:tmpl w:val="CA2CB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94525A"/>
    <w:multiLevelType w:val="hybridMultilevel"/>
    <w:tmpl w:val="629EA8A0"/>
    <w:lvl w:ilvl="0" w:tplc="B640491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7C6153"/>
    <w:multiLevelType w:val="multilevel"/>
    <w:tmpl w:val="169E126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86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abstractNum w:abstractNumId="28">
    <w:nsid w:val="5E011EDA"/>
    <w:multiLevelType w:val="hybridMultilevel"/>
    <w:tmpl w:val="F88815B0"/>
    <w:lvl w:ilvl="0" w:tplc="D51C4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E647B46"/>
    <w:multiLevelType w:val="hybridMultilevel"/>
    <w:tmpl w:val="912A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FD0904"/>
    <w:multiLevelType w:val="hybridMultilevel"/>
    <w:tmpl w:val="39C0FA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23D78A8"/>
    <w:multiLevelType w:val="hybridMultilevel"/>
    <w:tmpl w:val="D646DC8C"/>
    <w:lvl w:ilvl="0" w:tplc="D0ACCBAA">
      <w:start w:val="1"/>
      <w:numFmt w:val="decimal"/>
      <w:lvlText w:val="%1."/>
      <w:lvlJc w:val="left"/>
      <w:pPr>
        <w:ind w:left="122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>
    <w:nsid w:val="62DF487C"/>
    <w:multiLevelType w:val="hybridMultilevel"/>
    <w:tmpl w:val="88EE8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E71F9"/>
    <w:multiLevelType w:val="hybridMultilevel"/>
    <w:tmpl w:val="6B2611C8"/>
    <w:lvl w:ilvl="0" w:tplc="77209F0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A405DF2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D0820EF"/>
    <w:multiLevelType w:val="hybridMultilevel"/>
    <w:tmpl w:val="260C0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C264F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5048F8"/>
    <w:multiLevelType w:val="hybridMultilevel"/>
    <w:tmpl w:val="72349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6627B2"/>
    <w:multiLevelType w:val="multilevel"/>
    <w:tmpl w:val="1DCEC856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0"/>
      <w:numFmt w:val="decimal"/>
      <w:lvlText w:val="%1-%2"/>
      <w:lvlJc w:val="left"/>
      <w:pPr>
        <w:ind w:left="185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5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96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5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67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16" w:hanging="1800"/>
      </w:pPr>
      <w:rPr>
        <w:rFonts w:hint="default"/>
      </w:rPr>
    </w:lvl>
  </w:abstractNum>
  <w:abstractNum w:abstractNumId="38">
    <w:nsid w:val="78F63C92"/>
    <w:multiLevelType w:val="hybridMultilevel"/>
    <w:tmpl w:val="DCB46F42"/>
    <w:lvl w:ilvl="0" w:tplc="C0668DF8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6"/>
  </w:num>
  <w:num w:numId="5">
    <w:abstractNumId w:val="2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14"/>
  </w:num>
  <w:num w:numId="10">
    <w:abstractNumId w:val="38"/>
  </w:num>
  <w:num w:numId="11">
    <w:abstractNumId w:val="27"/>
  </w:num>
  <w:num w:numId="12">
    <w:abstractNumId w:val="22"/>
  </w:num>
  <w:num w:numId="13">
    <w:abstractNumId w:val="19"/>
  </w:num>
  <w:num w:numId="14">
    <w:abstractNumId w:val="7"/>
  </w:num>
  <w:num w:numId="15">
    <w:abstractNumId w:val="32"/>
  </w:num>
  <w:num w:numId="16">
    <w:abstractNumId w:val="29"/>
  </w:num>
  <w:num w:numId="17">
    <w:abstractNumId w:val="18"/>
  </w:num>
  <w:num w:numId="18">
    <w:abstractNumId w:val="3"/>
  </w:num>
  <w:num w:numId="19">
    <w:abstractNumId w:val="10"/>
  </w:num>
  <w:num w:numId="20">
    <w:abstractNumId w:val="37"/>
  </w:num>
  <w:num w:numId="21">
    <w:abstractNumId w:val="15"/>
  </w:num>
  <w:num w:numId="22">
    <w:abstractNumId w:val="31"/>
  </w:num>
  <w:num w:numId="23">
    <w:abstractNumId w:val="23"/>
  </w:num>
  <w:num w:numId="24">
    <w:abstractNumId w:val="5"/>
  </w:num>
  <w:num w:numId="25">
    <w:abstractNumId w:val="36"/>
  </w:num>
  <w:num w:numId="26">
    <w:abstractNumId w:val="9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0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3C"/>
    <w:rsid w:val="00003E05"/>
    <w:rsid w:val="000100AC"/>
    <w:rsid w:val="00016BD4"/>
    <w:rsid w:val="00030E5A"/>
    <w:rsid w:val="00034ABA"/>
    <w:rsid w:val="000431C8"/>
    <w:rsid w:val="00047A71"/>
    <w:rsid w:val="00050865"/>
    <w:rsid w:val="00062E05"/>
    <w:rsid w:val="00064275"/>
    <w:rsid w:val="00095357"/>
    <w:rsid w:val="000A0E29"/>
    <w:rsid w:val="000B429D"/>
    <w:rsid w:val="000C352E"/>
    <w:rsid w:val="000C681D"/>
    <w:rsid w:val="000C6C23"/>
    <w:rsid w:val="000D06DB"/>
    <w:rsid w:val="000D7311"/>
    <w:rsid w:val="000D755B"/>
    <w:rsid w:val="00135D0D"/>
    <w:rsid w:val="00195CB8"/>
    <w:rsid w:val="001A586B"/>
    <w:rsid w:val="001B69E7"/>
    <w:rsid w:val="001B7677"/>
    <w:rsid w:val="001C2FD3"/>
    <w:rsid w:val="001D7CB9"/>
    <w:rsid w:val="001E3E9E"/>
    <w:rsid w:val="001E5709"/>
    <w:rsid w:val="001F2D59"/>
    <w:rsid w:val="002446E6"/>
    <w:rsid w:val="002609B9"/>
    <w:rsid w:val="002648B8"/>
    <w:rsid w:val="002C6E3C"/>
    <w:rsid w:val="00336902"/>
    <w:rsid w:val="00360FCB"/>
    <w:rsid w:val="00367ED7"/>
    <w:rsid w:val="00381395"/>
    <w:rsid w:val="0038789B"/>
    <w:rsid w:val="00395AF6"/>
    <w:rsid w:val="00396360"/>
    <w:rsid w:val="003C2A68"/>
    <w:rsid w:val="003F7BCD"/>
    <w:rsid w:val="00404B99"/>
    <w:rsid w:val="00407E92"/>
    <w:rsid w:val="00433E44"/>
    <w:rsid w:val="00452DF6"/>
    <w:rsid w:val="00485E22"/>
    <w:rsid w:val="004A4D8D"/>
    <w:rsid w:val="004C63DF"/>
    <w:rsid w:val="004D597A"/>
    <w:rsid w:val="004E2BE4"/>
    <w:rsid w:val="004F3FBA"/>
    <w:rsid w:val="005133ED"/>
    <w:rsid w:val="00523DAA"/>
    <w:rsid w:val="0055750D"/>
    <w:rsid w:val="005653A3"/>
    <w:rsid w:val="00570CB4"/>
    <w:rsid w:val="00571D2C"/>
    <w:rsid w:val="005A130E"/>
    <w:rsid w:val="005C7587"/>
    <w:rsid w:val="006210CE"/>
    <w:rsid w:val="00667301"/>
    <w:rsid w:val="00676C22"/>
    <w:rsid w:val="0068064D"/>
    <w:rsid w:val="0068118D"/>
    <w:rsid w:val="006843B3"/>
    <w:rsid w:val="00691E9C"/>
    <w:rsid w:val="00693D1A"/>
    <w:rsid w:val="006A7A32"/>
    <w:rsid w:val="006E573E"/>
    <w:rsid w:val="00703032"/>
    <w:rsid w:val="00726DD2"/>
    <w:rsid w:val="007306D5"/>
    <w:rsid w:val="0076796D"/>
    <w:rsid w:val="0079290D"/>
    <w:rsid w:val="007E065E"/>
    <w:rsid w:val="0082300B"/>
    <w:rsid w:val="00856A68"/>
    <w:rsid w:val="0087164F"/>
    <w:rsid w:val="008E6A62"/>
    <w:rsid w:val="00922A49"/>
    <w:rsid w:val="00995357"/>
    <w:rsid w:val="009A538C"/>
    <w:rsid w:val="009C5208"/>
    <w:rsid w:val="00A259B3"/>
    <w:rsid w:val="00A46244"/>
    <w:rsid w:val="00A51458"/>
    <w:rsid w:val="00A709D8"/>
    <w:rsid w:val="00AC2E57"/>
    <w:rsid w:val="00AC4AFD"/>
    <w:rsid w:val="00AF6CFD"/>
    <w:rsid w:val="00AF6FDB"/>
    <w:rsid w:val="00B049DC"/>
    <w:rsid w:val="00B1378F"/>
    <w:rsid w:val="00B23382"/>
    <w:rsid w:val="00B252BD"/>
    <w:rsid w:val="00B43EC1"/>
    <w:rsid w:val="00B71890"/>
    <w:rsid w:val="00B9486D"/>
    <w:rsid w:val="00BA053E"/>
    <w:rsid w:val="00BC7E10"/>
    <w:rsid w:val="00C25DE8"/>
    <w:rsid w:val="00C4612C"/>
    <w:rsid w:val="00C46232"/>
    <w:rsid w:val="00C5454C"/>
    <w:rsid w:val="00C74B55"/>
    <w:rsid w:val="00C873E1"/>
    <w:rsid w:val="00CA7016"/>
    <w:rsid w:val="00CB20CA"/>
    <w:rsid w:val="00D757A2"/>
    <w:rsid w:val="00D90CB3"/>
    <w:rsid w:val="00DA1B0F"/>
    <w:rsid w:val="00DC5581"/>
    <w:rsid w:val="00DD5705"/>
    <w:rsid w:val="00E10C40"/>
    <w:rsid w:val="00E126F3"/>
    <w:rsid w:val="00E438BF"/>
    <w:rsid w:val="00E51549"/>
    <w:rsid w:val="00E95B4E"/>
    <w:rsid w:val="00E97847"/>
    <w:rsid w:val="00EA2E31"/>
    <w:rsid w:val="00EC632E"/>
    <w:rsid w:val="00EE7974"/>
    <w:rsid w:val="00F1127B"/>
    <w:rsid w:val="00F17DA5"/>
    <w:rsid w:val="00F218C0"/>
    <w:rsid w:val="00F33577"/>
    <w:rsid w:val="00F75E0F"/>
    <w:rsid w:val="00F86A74"/>
    <w:rsid w:val="00FE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microsoft.com/office/2007/relationships/hdphoto" Target="media/hdphoto2.wdp"/><Relationship Id="rId1" Type="http://schemas.openxmlformats.org/officeDocument/2006/relationships/image" Target="media/image7.png"/><Relationship Id="rId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4B738-17DD-4416-B6B6-75451244D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Koenigshaus</dc:creator>
  <cp:lastModifiedBy>Damian Halmer</cp:lastModifiedBy>
  <cp:revision>2</cp:revision>
  <cp:lastPrinted>2014-05-30T08:50:00Z</cp:lastPrinted>
  <dcterms:created xsi:type="dcterms:W3CDTF">2014-05-30T08:50:00Z</dcterms:created>
  <dcterms:modified xsi:type="dcterms:W3CDTF">2014-05-30T08:50:00Z</dcterms:modified>
</cp:coreProperties>
</file>