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FC701" w14:textId="77777777" w:rsidR="00C4612C" w:rsidRDefault="00C4612C" w:rsidP="00C4612C">
      <w:pPr>
        <w:jc w:val="right"/>
      </w:pPr>
      <w:bookmarkStart w:id="0" w:name="_GoBack"/>
      <w:bookmarkEnd w:id="0"/>
    </w:p>
    <w:p w14:paraId="31A253BF" w14:textId="77777777" w:rsidR="00C4612C" w:rsidRPr="00C44A84" w:rsidRDefault="00C4612C" w:rsidP="00C4612C">
      <w:pPr>
        <w:jc w:val="right"/>
        <w:rPr>
          <w:rFonts w:ascii="Times New Roman" w:hAnsi="Times New Roman"/>
          <w:sz w:val="24"/>
          <w:szCs w:val="24"/>
        </w:rPr>
      </w:pPr>
      <w:r w:rsidRPr="00C44A84">
        <w:rPr>
          <w:rFonts w:ascii="Times New Roman" w:hAnsi="Times New Roman"/>
          <w:sz w:val="24"/>
          <w:szCs w:val="24"/>
        </w:rPr>
        <w:t>Załącznik nr 1</w:t>
      </w:r>
    </w:p>
    <w:p w14:paraId="52E28BDB" w14:textId="77777777" w:rsidR="00A05266" w:rsidRPr="00C44A84" w:rsidRDefault="00A05266" w:rsidP="00C4612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D423787" w14:textId="77777777" w:rsidR="00A05266" w:rsidRPr="00C44A84" w:rsidRDefault="00A05266" w:rsidP="00A05266">
      <w:pPr>
        <w:jc w:val="center"/>
        <w:rPr>
          <w:rFonts w:ascii="Times New Roman" w:hAnsi="Times New Roman"/>
          <w:b/>
          <w:sz w:val="32"/>
          <w:szCs w:val="32"/>
        </w:rPr>
      </w:pPr>
      <w:r w:rsidRPr="00C44A84">
        <w:rPr>
          <w:rFonts w:ascii="Times New Roman" w:hAnsi="Times New Roman"/>
          <w:b/>
          <w:sz w:val="32"/>
          <w:szCs w:val="32"/>
        </w:rPr>
        <w:t>Regulamin oceny ofert</w:t>
      </w:r>
    </w:p>
    <w:p w14:paraId="50592755" w14:textId="77777777" w:rsidR="00A05266" w:rsidRPr="00C44A84" w:rsidRDefault="00A05266" w:rsidP="00A05266">
      <w:pPr>
        <w:rPr>
          <w:rFonts w:ascii="Times New Roman" w:hAnsi="Times New Roman"/>
        </w:rPr>
      </w:pPr>
    </w:p>
    <w:p w14:paraId="0746DA4C" w14:textId="77777777" w:rsidR="00A05266" w:rsidRPr="00C44A84" w:rsidRDefault="00A05266" w:rsidP="00A05266">
      <w:pPr>
        <w:rPr>
          <w:rFonts w:ascii="Times New Roman" w:hAnsi="Times New Roman"/>
          <w:color w:val="000000"/>
          <w:sz w:val="24"/>
          <w:szCs w:val="24"/>
        </w:rPr>
      </w:pPr>
      <w:r w:rsidRPr="00C44A84">
        <w:rPr>
          <w:rFonts w:ascii="Times New Roman" w:hAnsi="Times New Roman"/>
          <w:color w:val="000000"/>
          <w:sz w:val="24"/>
          <w:szCs w:val="24"/>
        </w:rPr>
        <w:t xml:space="preserve">Regulamin obowiązuje </w:t>
      </w:r>
      <w:r w:rsidRPr="00C44A84">
        <w:rPr>
          <w:rFonts w:ascii="Times New Roman" w:hAnsi="Times New Roman"/>
          <w:sz w:val="24"/>
          <w:szCs w:val="24"/>
        </w:rPr>
        <w:t>od dnia 11.05.2015 r.</w:t>
      </w:r>
    </w:p>
    <w:p w14:paraId="44315719" w14:textId="77777777" w:rsidR="00A05266" w:rsidRPr="00C44A84" w:rsidRDefault="00A05266" w:rsidP="00A05266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44A84">
        <w:rPr>
          <w:rFonts w:ascii="Times New Roman" w:hAnsi="Times New Roman"/>
          <w:b/>
          <w:bCs/>
          <w:sz w:val="24"/>
          <w:szCs w:val="24"/>
        </w:rPr>
        <w:t>§ 1</w:t>
      </w:r>
    </w:p>
    <w:p w14:paraId="33E72A7B" w14:textId="77777777" w:rsidR="00A05266" w:rsidRPr="00C44A84" w:rsidRDefault="00A05266" w:rsidP="00A05266">
      <w:pPr>
        <w:jc w:val="center"/>
        <w:rPr>
          <w:rFonts w:ascii="Times New Roman" w:hAnsi="Times New Roman"/>
          <w:b/>
          <w:sz w:val="24"/>
          <w:szCs w:val="24"/>
        </w:rPr>
      </w:pPr>
      <w:r w:rsidRPr="00C44A84">
        <w:rPr>
          <w:rFonts w:ascii="Times New Roman" w:hAnsi="Times New Roman"/>
          <w:b/>
          <w:sz w:val="24"/>
          <w:szCs w:val="24"/>
        </w:rPr>
        <w:t>Sposób wyboru oferty</w:t>
      </w:r>
    </w:p>
    <w:p w14:paraId="465586B4" w14:textId="77777777" w:rsidR="00A05266" w:rsidRPr="00C44A84" w:rsidRDefault="00A05266" w:rsidP="00A05266">
      <w:pPr>
        <w:tabs>
          <w:tab w:val="left" w:pos="426"/>
        </w:tabs>
        <w:spacing w:after="0" w:line="240" w:lineRule="auto"/>
        <w:ind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C44A84">
        <w:rPr>
          <w:rFonts w:ascii="Times New Roman" w:eastAsia="Times New Roman" w:hAnsi="Times New Roman"/>
          <w:sz w:val="24"/>
          <w:szCs w:val="24"/>
        </w:rPr>
        <w:t xml:space="preserve">1. Przy wyborze najkorzystniejszej oferty Zamawiający będzie się kierował następującymi kryteriami: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1560"/>
        <w:gridCol w:w="1134"/>
        <w:gridCol w:w="4142"/>
      </w:tblGrid>
      <w:tr w:rsidR="00A05266" w:rsidRPr="00C44A84" w14:paraId="45362774" w14:textId="77777777" w:rsidTr="00C52174">
        <w:tc>
          <w:tcPr>
            <w:tcW w:w="534" w:type="dxa"/>
            <w:shd w:val="clear" w:color="auto" w:fill="auto"/>
          </w:tcPr>
          <w:p w14:paraId="5A1D6EF2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842" w:type="dxa"/>
            <w:shd w:val="clear" w:color="auto" w:fill="auto"/>
          </w:tcPr>
          <w:p w14:paraId="363625A9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Nazwa kryterium</w:t>
            </w:r>
          </w:p>
        </w:tc>
        <w:tc>
          <w:tcPr>
            <w:tcW w:w="1560" w:type="dxa"/>
            <w:shd w:val="clear" w:color="auto" w:fill="auto"/>
          </w:tcPr>
          <w:p w14:paraId="564FA5E0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Opis kryterium</w:t>
            </w:r>
          </w:p>
        </w:tc>
        <w:tc>
          <w:tcPr>
            <w:tcW w:w="1134" w:type="dxa"/>
            <w:shd w:val="clear" w:color="auto" w:fill="auto"/>
          </w:tcPr>
          <w:p w14:paraId="489B6847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Waga kryterium (%)</w:t>
            </w:r>
          </w:p>
        </w:tc>
        <w:tc>
          <w:tcPr>
            <w:tcW w:w="4142" w:type="dxa"/>
            <w:shd w:val="clear" w:color="auto" w:fill="auto"/>
          </w:tcPr>
          <w:p w14:paraId="0CFC46D6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Maksymalna ilość punktów obliczona wg wzoru</w:t>
            </w:r>
          </w:p>
        </w:tc>
      </w:tr>
      <w:tr w:rsidR="00A05266" w:rsidRPr="00C44A84" w14:paraId="3819B077" w14:textId="77777777" w:rsidTr="00C52174">
        <w:tc>
          <w:tcPr>
            <w:tcW w:w="534" w:type="dxa"/>
            <w:shd w:val="clear" w:color="auto" w:fill="auto"/>
          </w:tcPr>
          <w:p w14:paraId="49947152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14:paraId="5ECC2B02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Cena</w:t>
            </w:r>
          </w:p>
        </w:tc>
        <w:tc>
          <w:tcPr>
            <w:tcW w:w="1560" w:type="dxa"/>
            <w:shd w:val="clear" w:color="auto" w:fill="auto"/>
          </w:tcPr>
          <w:p w14:paraId="599ACBDC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Cena oferty brutto podana w formularzu ofertowym</w:t>
            </w:r>
          </w:p>
        </w:tc>
        <w:tc>
          <w:tcPr>
            <w:tcW w:w="1134" w:type="dxa"/>
            <w:shd w:val="clear" w:color="auto" w:fill="auto"/>
          </w:tcPr>
          <w:p w14:paraId="228B927D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142" w:type="dxa"/>
            <w:shd w:val="clear" w:color="auto" w:fill="auto"/>
          </w:tcPr>
          <w:p w14:paraId="5F7F7789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Najniższa cena oferty/cena oferty badanej x 40 punktów</w:t>
            </w:r>
          </w:p>
        </w:tc>
      </w:tr>
      <w:tr w:rsidR="00A05266" w:rsidRPr="00C44A84" w14:paraId="0B18FC6A" w14:textId="77777777" w:rsidTr="00C52174">
        <w:tc>
          <w:tcPr>
            <w:tcW w:w="534" w:type="dxa"/>
            <w:shd w:val="clear" w:color="auto" w:fill="auto"/>
          </w:tcPr>
          <w:p w14:paraId="4C939C12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14:paraId="55D74C62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 xml:space="preserve">Ocena projektu rzeźby (część opisowa i część graficzna) </w:t>
            </w:r>
          </w:p>
        </w:tc>
        <w:tc>
          <w:tcPr>
            <w:tcW w:w="1560" w:type="dxa"/>
            <w:shd w:val="clear" w:color="auto" w:fill="auto"/>
          </w:tcPr>
          <w:p w14:paraId="3F9A3061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 xml:space="preserve">Indywidualna ocena punktowa uzyskana w wyniku indywidualnej oceny członków komisji (łączna suma ocen trzech </w:t>
            </w:r>
            <w:proofErr w:type="spellStart"/>
            <w:r w:rsidRPr="00C44A84">
              <w:rPr>
                <w:rFonts w:ascii="Times New Roman" w:hAnsi="Times New Roman"/>
                <w:sz w:val="20"/>
                <w:szCs w:val="20"/>
              </w:rPr>
              <w:t>podkryteriów</w:t>
            </w:r>
            <w:proofErr w:type="spellEnd"/>
            <w:r w:rsidRPr="00C44A84">
              <w:rPr>
                <w:rFonts w:ascii="Times New Roman" w:hAnsi="Times New Roman"/>
                <w:sz w:val="20"/>
                <w:szCs w:val="20"/>
              </w:rPr>
              <w:t xml:space="preserve"> stanowiąca łącznie ocenę kryterium)</w:t>
            </w:r>
          </w:p>
        </w:tc>
        <w:tc>
          <w:tcPr>
            <w:tcW w:w="1134" w:type="dxa"/>
            <w:shd w:val="clear" w:color="auto" w:fill="auto"/>
          </w:tcPr>
          <w:p w14:paraId="193EDED8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142" w:type="dxa"/>
            <w:shd w:val="clear" w:color="auto" w:fill="auto"/>
          </w:tcPr>
          <w:p w14:paraId="1BF7C3A3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Suma punktów oferty badanej/Najwyższa suma punktów w kryterium x 60 punktów</w:t>
            </w:r>
          </w:p>
        </w:tc>
      </w:tr>
      <w:tr w:rsidR="00A05266" w:rsidRPr="00C44A84" w14:paraId="15D7B6FA" w14:textId="77777777" w:rsidTr="00C52174">
        <w:tc>
          <w:tcPr>
            <w:tcW w:w="534" w:type="dxa"/>
            <w:shd w:val="clear" w:color="auto" w:fill="auto"/>
          </w:tcPr>
          <w:p w14:paraId="58982AD3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60AFC2F5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134" w:type="dxa"/>
            <w:shd w:val="clear" w:color="auto" w:fill="auto"/>
          </w:tcPr>
          <w:p w14:paraId="51D716D5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  <w:r w:rsidRPr="00C44A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142" w:type="dxa"/>
            <w:shd w:val="clear" w:color="auto" w:fill="auto"/>
          </w:tcPr>
          <w:p w14:paraId="4393BD73" w14:textId="77777777" w:rsidR="00A05266" w:rsidRPr="00C44A84" w:rsidRDefault="00A05266" w:rsidP="00C521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F935244" w14:textId="77777777" w:rsidR="00A05266" w:rsidRPr="00C44A84" w:rsidRDefault="00A05266" w:rsidP="00A05266">
      <w:pPr>
        <w:pStyle w:val="Default"/>
        <w:ind w:hanging="426"/>
        <w:rPr>
          <w:rFonts w:ascii="Times New Roman" w:hAnsi="Times New Roman" w:cs="Times New Roman"/>
        </w:rPr>
      </w:pPr>
    </w:p>
    <w:p w14:paraId="21C7AC15" w14:textId="77777777" w:rsidR="00A05266" w:rsidRPr="00C44A84" w:rsidRDefault="00A05266" w:rsidP="00A05266">
      <w:pPr>
        <w:pStyle w:val="Default"/>
        <w:tabs>
          <w:tab w:val="left" w:pos="0"/>
        </w:tabs>
        <w:ind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 xml:space="preserve">2. Ocena będzie dokonana z dokładnością do dwóch miejsc po przecinku. </w:t>
      </w:r>
    </w:p>
    <w:p w14:paraId="04217002" w14:textId="77777777" w:rsidR="00A05266" w:rsidRPr="00C44A84" w:rsidRDefault="00A05266" w:rsidP="00A05266">
      <w:pPr>
        <w:pStyle w:val="Default"/>
        <w:tabs>
          <w:tab w:val="left" w:pos="0"/>
        </w:tabs>
        <w:ind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3. Za najkorzystniejszą zostanie uznana oferta, która uzyska największą liczbę punktów, po zsumowaniu punktów uzyskanych przez ofertę w każdym z wyszczególnionych kryteriów.</w:t>
      </w:r>
    </w:p>
    <w:p w14:paraId="11D2B00E" w14:textId="77777777" w:rsidR="00A05266" w:rsidRPr="00C44A84" w:rsidRDefault="00A05266" w:rsidP="00A05266">
      <w:pPr>
        <w:pStyle w:val="Default"/>
        <w:tabs>
          <w:tab w:val="left" w:pos="0"/>
        </w:tabs>
        <w:ind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4. Jeżeli nie można wybrać oferty najkorzystniejszej z uwagi na to, że dwie lub więcej ofert przedstawia taką samą sumę punktów, zamawiający spośród tych ofert wybiera ofertę z niższą ceną.</w:t>
      </w:r>
    </w:p>
    <w:p w14:paraId="5AB8CCD2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14:paraId="7E9675EB" w14:textId="77777777" w:rsidR="00A05266" w:rsidRPr="00C44A84" w:rsidRDefault="00A05266" w:rsidP="00A05266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44A84">
        <w:rPr>
          <w:rFonts w:ascii="Times New Roman" w:hAnsi="Times New Roman"/>
          <w:b/>
          <w:bCs/>
          <w:sz w:val="24"/>
          <w:szCs w:val="24"/>
        </w:rPr>
        <w:t>§ 2</w:t>
      </w:r>
    </w:p>
    <w:p w14:paraId="6D36AC35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center"/>
        <w:rPr>
          <w:rFonts w:ascii="Times New Roman" w:hAnsi="Times New Roman" w:cs="Times New Roman"/>
          <w:b/>
        </w:rPr>
      </w:pPr>
      <w:r w:rsidRPr="00C44A84">
        <w:rPr>
          <w:rFonts w:ascii="Times New Roman" w:hAnsi="Times New Roman" w:cs="Times New Roman"/>
          <w:b/>
        </w:rPr>
        <w:t>Sposób dokonania oceny</w:t>
      </w:r>
    </w:p>
    <w:p w14:paraId="65796690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center"/>
        <w:rPr>
          <w:rFonts w:ascii="Times New Roman" w:hAnsi="Times New Roman" w:cs="Times New Roman"/>
          <w:b/>
        </w:rPr>
      </w:pPr>
    </w:p>
    <w:p w14:paraId="7D607F25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rPr>
          <w:rFonts w:ascii="Times New Roman" w:hAnsi="Times New Roman" w:cs="Times New Roman"/>
          <w:b/>
        </w:rPr>
      </w:pPr>
      <w:r w:rsidRPr="00C44A84">
        <w:rPr>
          <w:rFonts w:ascii="Times New Roman" w:hAnsi="Times New Roman" w:cs="Times New Roman"/>
          <w:b/>
          <w:bCs/>
        </w:rPr>
        <w:t> </w:t>
      </w:r>
    </w:p>
    <w:p w14:paraId="79FAB0AA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bCs/>
          <w:color w:val="FF0000"/>
        </w:rPr>
        <w:t xml:space="preserve">     </w:t>
      </w:r>
      <w:r w:rsidRPr="00C44A84">
        <w:rPr>
          <w:rFonts w:ascii="Times New Roman" w:hAnsi="Times New Roman" w:cs="Times New Roman"/>
          <w:bCs/>
          <w:color w:val="auto"/>
        </w:rPr>
        <w:t>Zamawiający dokonuje oceny wstępnej złożonego projektu pod kątem przydatności do realizacji działań statutowych. Pozytywna weryfikacja w tym zakresie powoduje, że projekt zostaje dopuszczony do oceny formalnej na poniższych zasadach. Brak pozytywnej weryfikacji oznacza odrzucenie wniosku i nie poddawanie go ocenie.</w:t>
      </w:r>
    </w:p>
    <w:p w14:paraId="21585E46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center"/>
        <w:rPr>
          <w:rFonts w:ascii="Times New Roman" w:hAnsi="Times New Roman" w:cs="Times New Roman"/>
        </w:rPr>
      </w:pPr>
    </w:p>
    <w:p w14:paraId="5625684A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  <w:color w:val="auto"/>
        </w:rPr>
      </w:pPr>
    </w:p>
    <w:p w14:paraId="741EB5F2" w14:textId="77777777" w:rsidR="00A05266" w:rsidRPr="00C44A84" w:rsidRDefault="00A05266" w:rsidP="00A05266">
      <w:pPr>
        <w:pStyle w:val="Default"/>
        <w:numPr>
          <w:ilvl w:val="0"/>
          <w:numId w:val="37"/>
        </w:numPr>
        <w:tabs>
          <w:tab w:val="left" w:pos="0"/>
        </w:tabs>
        <w:ind w:left="0" w:hanging="426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Dla kryterium „cena” = 40%</w:t>
      </w:r>
    </w:p>
    <w:p w14:paraId="593707AA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Punktacja za kryterium cena zostanie wyliczona według powyższego wzoru z tabeli</w:t>
      </w:r>
    </w:p>
    <w:p w14:paraId="2F2DDD40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 xml:space="preserve">Najwyższą liczbę punktów otrzyma oferta z najniższą ceną brutto. </w:t>
      </w:r>
    </w:p>
    <w:p w14:paraId="0D8DA796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Maksymalnie można uzyskać w tym kryterium 40 punktów.</w:t>
      </w:r>
    </w:p>
    <w:p w14:paraId="0E62D5F9" w14:textId="77777777" w:rsidR="00A05266" w:rsidRPr="00C44A84" w:rsidRDefault="00A05266" w:rsidP="00A05266">
      <w:pPr>
        <w:pStyle w:val="Default"/>
        <w:numPr>
          <w:ilvl w:val="0"/>
          <w:numId w:val="37"/>
        </w:numPr>
        <w:tabs>
          <w:tab w:val="left" w:pos="0"/>
        </w:tabs>
        <w:ind w:left="0" w:hanging="426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Dla kryterium „zgodność projektu z tematyką zadania, spójność projektu rzeźby św. Barbary z projektem aranżacji wystawy oraz zastanym wnętrzem oraz wartość artystyczna i estetyczna”  = 60%</w:t>
      </w:r>
    </w:p>
    <w:p w14:paraId="00B778F1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Zamawiający dokona oceny dostarczonego projektu rzeźby.</w:t>
      </w:r>
    </w:p>
    <w:p w14:paraId="19A773F8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Do oferty Wykonawca powinien dołączyć projekt rzeźby składający się z:</w:t>
      </w:r>
    </w:p>
    <w:p w14:paraId="4818B056" w14:textId="25D4AA27" w:rsidR="00A05266" w:rsidRPr="00C44A84" w:rsidRDefault="00A05266" w:rsidP="00A05266">
      <w:pPr>
        <w:pStyle w:val="Default"/>
        <w:tabs>
          <w:tab w:val="left" w:pos="426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b/>
          <w:color w:val="auto"/>
        </w:rPr>
        <w:t>Części graficznej</w:t>
      </w:r>
      <w:r w:rsidRPr="00C44A84">
        <w:rPr>
          <w:rFonts w:ascii="Times New Roman" w:hAnsi="Times New Roman" w:cs="Times New Roman"/>
          <w:color w:val="auto"/>
        </w:rPr>
        <w:t xml:space="preserve"> </w:t>
      </w:r>
      <w:r w:rsidR="00D42017" w:rsidRPr="00C44A84">
        <w:rPr>
          <w:rFonts w:ascii="Times New Roman" w:hAnsi="Times New Roman" w:cs="Times New Roman"/>
          <w:color w:val="auto"/>
        </w:rPr>
        <w:t xml:space="preserve">wykonanej na papierze, </w:t>
      </w:r>
      <w:r w:rsidRPr="00C44A84">
        <w:rPr>
          <w:rFonts w:ascii="Times New Roman" w:hAnsi="Times New Roman" w:cs="Times New Roman"/>
          <w:color w:val="auto"/>
        </w:rPr>
        <w:t xml:space="preserve">zawierającej: projekt rzeźby – wykonany w skali 1:2, </w:t>
      </w:r>
      <w:r w:rsidR="009745B6" w:rsidRPr="00C44A84">
        <w:rPr>
          <w:rFonts w:ascii="Times New Roman" w:hAnsi="Times New Roman" w:cs="Times New Roman"/>
          <w:color w:val="auto"/>
        </w:rPr>
        <w:t xml:space="preserve">z uwzględnieniem przedstawienia złoceń i polichromii </w:t>
      </w:r>
      <w:r w:rsidRPr="00C44A84">
        <w:rPr>
          <w:rFonts w:ascii="Times New Roman" w:hAnsi="Times New Roman" w:cs="Times New Roman"/>
          <w:color w:val="auto"/>
        </w:rPr>
        <w:t>w rzecz</w:t>
      </w:r>
      <w:r w:rsidR="009745B6" w:rsidRPr="00C44A84">
        <w:rPr>
          <w:rFonts w:ascii="Times New Roman" w:hAnsi="Times New Roman" w:cs="Times New Roman"/>
          <w:color w:val="auto"/>
        </w:rPr>
        <w:t>ywistym (realizacyjnym) kolorze. P</w:t>
      </w:r>
      <w:r w:rsidRPr="00C44A84">
        <w:rPr>
          <w:rFonts w:ascii="Times New Roman" w:hAnsi="Times New Roman" w:cs="Times New Roman"/>
          <w:color w:val="auto"/>
        </w:rPr>
        <w:t xml:space="preserve">rojekt może </w:t>
      </w:r>
      <w:proofErr w:type="spellStart"/>
      <w:r w:rsidRPr="00C44A84">
        <w:rPr>
          <w:rFonts w:ascii="Times New Roman" w:hAnsi="Times New Roman" w:cs="Times New Roman"/>
          <w:color w:val="auto"/>
        </w:rPr>
        <w:t>byc</w:t>
      </w:r>
      <w:proofErr w:type="spellEnd"/>
      <w:r w:rsidRPr="00C44A84">
        <w:rPr>
          <w:rFonts w:ascii="Times New Roman" w:hAnsi="Times New Roman" w:cs="Times New Roman"/>
          <w:color w:val="auto"/>
        </w:rPr>
        <w:t>́ wykonany w technice malarskiej lub naszkicowany</w:t>
      </w:r>
      <w:r w:rsidR="00D42017" w:rsidRPr="00C44A84">
        <w:rPr>
          <w:rFonts w:ascii="Times New Roman" w:hAnsi="Times New Roman" w:cs="Times New Roman"/>
          <w:color w:val="auto"/>
        </w:rPr>
        <w:t xml:space="preserve"> z zachowaniem właściwych barw</w:t>
      </w:r>
      <w:r w:rsidRPr="00C44A84">
        <w:rPr>
          <w:rFonts w:ascii="Times New Roman" w:hAnsi="Times New Roman" w:cs="Times New Roman"/>
          <w:color w:val="auto"/>
        </w:rPr>
        <w:t xml:space="preserve">. </w:t>
      </w:r>
      <w:r w:rsidRPr="00C44A84">
        <w:rPr>
          <w:rFonts w:ascii="Times New Roman" w:hAnsi="Times New Roman" w:cs="Times New Roman"/>
          <w:b/>
          <w:color w:val="auto"/>
        </w:rPr>
        <w:t>Części opisowej</w:t>
      </w:r>
      <w:r w:rsidRPr="00C44A84">
        <w:rPr>
          <w:rFonts w:ascii="Times New Roman" w:hAnsi="Times New Roman" w:cs="Times New Roman"/>
          <w:color w:val="auto"/>
        </w:rPr>
        <w:t xml:space="preserve"> zawierającej: krótki opis koncepcji uwzględniający m.in. rodzaj i ilość przewidzianych materiałów niezbędnych do wykonania i wykończenia przedmiotu zamówienia (do 3 tyś. znaków ze spacjami), przedstawienie kosztorysu zawierającego przygotowanie projektu rzeźby świętej Barbary, wykonanie gipsowej formy, wykonanie odlewu z odpowiedniego materiału, zamocowanie gotowej rzeźby do postumentu.</w:t>
      </w:r>
    </w:p>
    <w:p w14:paraId="76319DE8" w14:textId="77777777" w:rsidR="00A05266" w:rsidRPr="00C44A84" w:rsidRDefault="00A05266" w:rsidP="00A05266">
      <w:pPr>
        <w:pStyle w:val="Akapitzlist"/>
        <w:numPr>
          <w:ilvl w:val="1"/>
          <w:numId w:val="37"/>
        </w:numPr>
        <w:rPr>
          <w:rFonts w:ascii="Times New Roman" w:hAnsi="Times New Roman"/>
          <w:sz w:val="24"/>
          <w:szCs w:val="24"/>
        </w:rPr>
      </w:pPr>
      <w:r w:rsidRPr="00C44A84">
        <w:rPr>
          <w:rFonts w:ascii="Times New Roman" w:hAnsi="Times New Roman"/>
          <w:sz w:val="24"/>
          <w:szCs w:val="24"/>
        </w:rPr>
        <w:t>Projekt rzeźby będzie stanowił materiał podlegający ocenie powołanej przez Zamawiającego komisji mającej na celu wyłonienie Wykonawcy. Komisja, składająca się z 4 osób oddelegowanych przez Zamawiającego oraz 1 niezależnego biegłego specjalistę w dziedzinie historii sztuki, będzie oceniać projekty w zakresie:</w:t>
      </w:r>
    </w:p>
    <w:p w14:paraId="6883BA86" w14:textId="77777777" w:rsidR="00A05266" w:rsidRPr="00C44A84" w:rsidRDefault="00A05266" w:rsidP="00A05266">
      <w:pPr>
        <w:pStyle w:val="Default"/>
        <w:numPr>
          <w:ilvl w:val="0"/>
          <w:numId w:val="49"/>
        </w:num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zgodność projektu z tematyką zadania,</w:t>
      </w:r>
    </w:p>
    <w:p w14:paraId="2097A097" w14:textId="77777777" w:rsidR="00A05266" w:rsidRPr="00C44A84" w:rsidRDefault="00A05266" w:rsidP="00A05266">
      <w:pPr>
        <w:pStyle w:val="Default"/>
        <w:numPr>
          <w:ilvl w:val="0"/>
          <w:numId w:val="49"/>
        </w:num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spójność projektu rzeźby św. Barbary z projektem aranżacji wystawy oraz zastanym wnętrzem,</w:t>
      </w:r>
    </w:p>
    <w:p w14:paraId="73F888A2" w14:textId="77777777" w:rsidR="00A05266" w:rsidRPr="00C44A84" w:rsidRDefault="00A05266" w:rsidP="00A05266">
      <w:pPr>
        <w:pStyle w:val="Default"/>
        <w:numPr>
          <w:ilvl w:val="0"/>
          <w:numId w:val="49"/>
        </w:num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wartość artystyczna i estetyczna.</w:t>
      </w:r>
    </w:p>
    <w:p w14:paraId="209EAF81" w14:textId="7E826E2B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 xml:space="preserve">Zgodność projektu z tematyką zadania - uwzględniająca takie elementy jak: ukazanie Św. Barbary w sposób odpowiadający jej dotychczasowym wizerunkom spotykanym w kościelnej ikonografii, dobór odpowiednich atrybutów (typowość atrybutów) pozwalających na właściwe zidentyfikowanie przedstawionej świętej, </w:t>
      </w:r>
      <w:r w:rsidR="00D42017" w:rsidRPr="00C44A84">
        <w:rPr>
          <w:rFonts w:ascii="Times New Roman" w:hAnsi="Times New Roman" w:cs="Times New Roman"/>
          <w:color w:val="auto"/>
        </w:rPr>
        <w:t>sposób przedstawienia ubioru zgodny z najczęstszymi współczesnymi przedstawieniami ikonograficznymi, dobór barw i zdobień zgodny z najczęstszymi współczesnymi przedstawieniami ikonograficznymi</w:t>
      </w:r>
      <w:r w:rsidRPr="00C44A84">
        <w:rPr>
          <w:rFonts w:ascii="Times New Roman" w:hAnsi="Times New Roman" w:cs="Times New Roman"/>
          <w:color w:val="auto"/>
        </w:rPr>
        <w:t>.  Kryterium to oceniane będzie w skali od 1 do 5 punktów, gdzie:</w:t>
      </w:r>
    </w:p>
    <w:p w14:paraId="02BFBD10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1 punkt dla oceny niedostateczne</w:t>
      </w:r>
    </w:p>
    <w:p w14:paraId="10C4B015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2 punkty dla oceny dostateczne</w:t>
      </w:r>
    </w:p>
    <w:p w14:paraId="64A3E1FB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lastRenderedPageBreak/>
        <w:t>3 punkty dla oceny dobra</w:t>
      </w:r>
    </w:p>
    <w:p w14:paraId="7E214E8B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4 punkty dla oceny bardzo dobra</w:t>
      </w:r>
    </w:p>
    <w:p w14:paraId="5ECF2E12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5 punktów dla oceny doskonała</w:t>
      </w:r>
    </w:p>
    <w:p w14:paraId="4D2740E1" w14:textId="606E3A28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</w:rPr>
        <w:t xml:space="preserve">Spójność projektu rzeźby św. Barbary z projektem aranżacji wystawy oraz zastanym wnętrzem - uwzględniająca takie elementy jak: dopasowanie rzeźby do walorów zastanego pomieszczenia, dostosowanie rzeźby do elementów scenografii, które mają znaleźć się w Komorze B (przyszłej kaplicy), </w:t>
      </w:r>
      <w:r w:rsidR="00D42017" w:rsidRPr="00C44A84">
        <w:rPr>
          <w:rFonts w:ascii="Times New Roman" w:hAnsi="Times New Roman" w:cs="Times New Roman"/>
        </w:rPr>
        <w:t>zgodność z kryteriami (wskazówkami) wyszczególnionymi w projekcie aranżacji, wykorzystanie barwnej polichromii</w:t>
      </w:r>
      <w:r w:rsidRPr="00C44A84">
        <w:rPr>
          <w:rFonts w:ascii="Times New Roman" w:hAnsi="Times New Roman" w:cs="Times New Roman"/>
        </w:rPr>
        <w:t xml:space="preserve">. Użycie wskazanych w opisie materiałów do wykonania i wykończenia rzeźby. </w:t>
      </w:r>
      <w:r w:rsidRPr="00C44A84">
        <w:rPr>
          <w:rFonts w:ascii="Times New Roman" w:hAnsi="Times New Roman" w:cs="Times New Roman"/>
          <w:color w:val="auto"/>
        </w:rPr>
        <w:t>Kryterium to oceniane będzie w skali od 1 do 5 punktów, gdzie:</w:t>
      </w:r>
    </w:p>
    <w:p w14:paraId="75F0D77E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1 punkt dla oceny niedostateczne</w:t>
      </w:r>
    </w:p>
    <w:p w14:paraId="33880239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2 punkty dla oceny dostateczne</w:t>
      </w:r>
    </w:p>
    <w:p w14:paraId="03CA0B85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3 punkty dla oceny dobra</w:t>
      </w:r>
    </w:p>
    <w:p w14:paraId="79289360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4 punkty dla oceny bardzo dobra</w:t>
      </w:r>
    </w:p>
    <w:p w14:paraId="24AAD492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5 punktów dla oceny doskonała</w:t>
      </w:r>
    </w:p>
    <w:p w14:paraId="48A9A0E8" w14:textId="414392F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</w:rPr>
        <w:t xml:space="preserve">Wartość artystyczna i estetyczna - uwzględniająca takie elementy jak: </w:t>
      </w:r>
      <w:r w:rsidR="00D42017" w:rsidRPr="00C44A84">
        <w:rPr>
          <w:rFonts w:ascii="Times New Roman" w:hAnsi="Times New Roman" w:cs="Times New Roman"/>
        </w:rPr>
        <w:t xml:space="preserve">zachowanie właściwych proporcji, </w:t>
      </w:r>
      <w:r w:rsidRPr="00C44A84">
        <w:rPr>
          <w:rFonts w:ascii="Times New Roman" w:hAnsi="Times New Roman" w:cs="Times New Roman"/>
        </w:rPr>
        <w:t xml:space="preserve">symetryczność, </w:t>
      </w:r>
      <w:r w:rsidR="00D42017" w:rsidRPr="00C44A84">
        <w:rPr>
          <w:rFonts w:ascii="Times New Roman" w:hAnsi="Times New Roman" w:cs="Times New Roman"/>
        </w:rPr>
        <w:t>zachowanie ludzkich rysów twarzy i szczegółów anatomicznych, zachowanie właściwych faktur, dobór rozwiązań stylistycznych i odniesień historycznych</w:t>
      </w:r>
      <w:r w:rsidRPr="00C44A84">
        <w:rPr>
          <w:rFonts w:ascii="Times New Roman" w:hAnsi="Times New Roman" w:cs="Times New Roman"/>
        </w:rPr>
        <w:t xml:space="preserve">. </w:t>
      </w:r>
      <w:r w:rsidRPr="00C44A84">
        <w:rPr>
          <w:rFonts w:ascii="Times New Roman" w:hAnsi="Times New Roman" w:cs="Times New Roman"/>
          <w:color w:val="auto"/>
        </w:rPr>
        <w:t>Kryterium to oceniane będzie w skali od 1 do 5 punktów, gdzie:</w:t>
      </w:r>
    </w:p>
    <w:p w14:paraId="2E8EC324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1 punkt dla oceny niedostateczne</w:t>
      </w:r>
    </w:p>
    <w:p w14:paraId="35E11445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2 punkty dla oceny dostateczne</w:t>
      </w:r>
    </w:p>
    <w:p w14:paraId="16D36CE4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3 punkty dla oceny dobra</w:t>
      </w:r>
    </w:p>
    <w:p w14:paraId="480527CA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4 punkty dla oceny bardzo dobra</w:t>
      </w:r>
    </w:p>
    <w:p w14:paraId="08D45CBC" w14:textId="77777777" w:rsidR="00A05266" w:rsidRPr="00C44A84" w:rsidRDefault="00A05266" w:rsidP="00A05266">
      <w:pPr>
        <w:pStyle w:val="Default"/>
        <w:tabs>
          <w:tab w:val="left" w:pos="993"/>
        </w:tabs>
        <w:ind w:left="1134" w:hanging="567"/>
        <w:jc w:val="both"/>
        <w:rPr>
          <w:rFonts w:ascii="Times New Roman" w:hAnsi="Times New Roman" w:cs="Times New Roman"/>
          <w:color w:val="auto"/>
        </w:rPr>
      </w:pPr>
      <w:r w:rsidRPr="00C44A84">
        <w:rPr>
          <w:rFonts w:ascii="Times New Roman" w:hAnsi="Times New Roman" w:cs="Times New Roman"/>
          <w:color w:val="auto"/>
        </w:rPr>
        <w:t>5 punktów dla oceny doskonała</w:t>
      </w:r>
    </w:p>
    <w:p w14:paraId="55F63E6F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Suma punktów dla każdej oferty obliczona będzie w ten sposób, że członek komisji oceny ofert dokonujący oceny lub osoba powołana do funkcji „biegłego specjalisty” przyzna pisemnie na specjalnie przygotowanej karcie oceny od 1 do 5 tzw. „małych punktów” dla dokonania indywidualnej oceny kryterium.</w:t>
      </w:r>
    </w:p>
    <w:p w14:paraId="62C6139F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Sumą punktów dla kryterium będzie średnia arytmetyczna tzw. „małych punktów” przyznanych przez wszystkich członków komisji oraz biegłego specjalistę. Liczby tych punktów zostaną dodane do siebie, a następnie podzielone przez liczbę osób głosujących, dając w ten sposób ocenę punktową kryterium.</w:t>
      </w:r>
    </w:p>
    <w:p w14:paraId="63EB98CB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 xml:space="preserve">Punktacja za kryterium zostanie wyliczona według wzoru podanego w tabeli. </w:t>
      </w:r>
    </w:p>
    <w:p w14:paraId="6051A260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Najwyższa ilość punktów w kryterium, będąca elementem składowym wzoru podanego w tabeli, wynosi 15 punktów.</w:t>
      </w:r>
    </w:p>
    <w:p w14:paraId="36CF15AA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 xml:space="preserve">Ostateczna ilość punktów w kryterium zostanie wyliczona na podstawie wzoru podanego w tabeli (iloraz uzyskanej sumy punktów w kryterium przez maksymalną sumę punktów w kryterium razy 60). </w:t>
      </w:r>
    </w:p>
    <w:p w14:paraId="417EFDF7" w14:textId="77777777" w:rsidR="00A05266" w:rsidRPr="00C44A84" w:rsidRDefault="00A05266" w:rsidP="00A05266">
      <w:pPr>
        <w:pStyle w:val="Default"/>
        <w:numPr>
          <w:ilvl w:val="1"/>
          <w:numId w:val="3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Maksymalny wynik wynosi 60 punktów.</w:t>
      </w:r>
    </w:p>
    <w:p w14:paraId="3FE1B317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14:paraId="50A04256" w14:textId="77777777" w:rsidR="00A05266" w:rsidRPr="00C44A84" w:rsidRDefault="00A05266" w:rsidP="00A05266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44A84">
        <w:rPr>
          <w:rFonts w:ascii="Times New Roman" w:hAnsi="Times New Roman"/>
          <w:b/>
          <w:bCs/>
          <w:sz w:val="24"/>
          <w:szCs w:val="24"/>
        </w:rPr>
        <w:t>§ 3</w:t>
      </w:r>
    </w:p>
    <w:p w14:paraId="2F1DB3F0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center"/>
        <w:rPr>
          <w:rFonts w:ascii="Times New Roman" w:hAnsi="Times New Roman" w:cs="Times New Roman"/>
          <w:b/>
        </w:rPr>
      </w:pPr>
      <w:r w:rsidRPr="00C44A84">
        <w:rPr>
          <w:rFonts w:ascii="Times New Roman" w:hAnsi="Times New Roman" w:cs="Times New Roman"/>
          <w:b/>
        </w:rPr>
        <w:t>Komisja oceniająca</w:t>
      </w:r>
    </w:p>
    <w:p w14:paraId="218CB7BC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14:paraId="2E716DF5" w14:textId="77777777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Komisja dokonująca oceny projektów składa się z 5 członków powołanych przez Zamawiającego.</w:t>
      </w:r>
    </w:p>
    <w:p w14:paraId="50940E7E" w14:textId="77777777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Zamawiający powołuje członków komisji imiennie, w sposób pisemny.</w:t>
      </w:r>
    </w:p>
    <w:p w14:paraId="5AFCE458" w14:textId="5869DF54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lastRenderedPageBreak/>
        <w:t>W skład komisji wchodzi 4 pracowników Zamawiającego oraz niezależny biegły specjalista w</w:t>
      </w:r>
      <w:r w:rsidRPr="00C44A84">
        <w:rPr>
          <w:rFonts w:ascii="Times New Roman" w:eastAsia="Times New Roman" w:hAnsi="Times New Roman" w:cs="Times New Roman"/>
        </w:rPr>
        <w:t xml:space="preserve"> dziedzinie sztuki.</w:t>
      </w:r>
    </w:p>
    <w:p w14:paraId="32D0E560" w14:textId="1506832B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 xml:space="preserve">Osoba powołana na stanowisko biegłego specjalisty powinna posiadać </w:t>
      </w:r>
      <w:r w:rsidR="0005641F" w:rsidRPr="00C44A84">
        <w:rPr>
          <w:rFonts w:ascii="Times New Roman" w:hAnsi="Times New Roman" w:cs="Times New Roman"/>
        </w:rPr>
        <w:t xml:space="preserve">wykształcenie wyższe artystyczne i </w:t>
      </w:r>
      <w:r w:rsidRPr="00C44A84">
        <w:rPr>
          <w:rFonts w:ascii="Times New Roman" w:hAnsi="Times New Roman" w:cs="Times New Roman"/>
        </w:rPr>
        <w:t>wiedzę z zakresu historii sztuki</w:t>
      </w:r>
      <w:r w:rsidRPr="00C44A84">
        <w:rPr>
          <w:rFonts w:ascii="Times New Roman" w:hAnsi="Times New Roman" w:cs="Times New Roman"/>
          <w:color w:val="auto"/>
        </w:rPr>
        <w:t>.</w:t>
      </w:r>
    </w:p>
    <w:p w14:paraId="12FC72D0" w14:textId="77777777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Spośród członków komisji powoływana jest osoba pełniąca funkcję protokolanta. Do jej obowiązków należy sporządzenie protokołu z obrad komisji.</w:t>
      </w:r>
    </w:p>
    <w:p w14:paraId="79CD4E5B" w14:textId="77777777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Komisja dokonuje oceny wg. punktacji określonej niniejszym regulaminem, w formie pisemnej, na przygotowanych wcześniej blankietach.</w:t>
      </w:r>
    </w:p>
    <w:p w14:paraId="5443ED1F" w14:textId="77777777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Blankiety wypełnione przez wszystkich członków komisji są przekazywane protokolantowi, który każdorazowo sumuje tzw. „małe punkty” dokonuje innych obliczeń przewidzianych regulaminem. Sumę punktów uzyskanych w trakcie oceny protokolant wpisuje na przygotowanej wcześniej karcie oceny, którą w obecności komisji ma obowiązek dołączyć do projektu.</w:t>
      </w:r>
    </w:p>
    <w:p w14:paraId="4CECA609" w14:textId="77777777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Komisja kończy swą pracę w momencie zakończenia oceny wszystkich projektów przedłożonych do oceny.</w:t>
      </w:r>
    </w:p>
    <w:p w14:paraId="2DAA9710" w14:textId="77777777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 xml:space="preserve">Członkowie komisji mogą przyznawać punkty tylko i wyłącznie w oparciu o ustalenia niniejszego regulaminu. Procedura nie przewiduje możliwości przyznawania punktów zerowych ani wstrzymania się od głosu.  </w:t>
      </w:r>
    </w:p>
    <w:p w14:paraId="04721AF5" w14:textId="77777777" w:rsidR="00A05266" w:rsidRPr="00C44A84" w:rsidRDefault="00A05266" w:rsidP="00A05266">
      <w:pPr>
        <w:pStyle w:val="Default"/>
        <w:numPr>
          <w:ilvl w:val="0"/>
          <w:numId w:val="38"/>
        </w:numPr>
        <w:tabs>
          <w:tab w:val="left" w:pos="142"/>
        </w:tabs>
        <w:ind w:left="142" w:hanging="426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W przypadku nieobecności któregoś z członków komisji, Zamawiający ma prawo powołać w jego miejsce inną osobę, z zachowaniem zasady pisemnego powiadomienia o powołaniu.</w:t>
      </w:r>
    </w:p>
    <w:p w14:paraId="2880C9D3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14:paraId="6FCB6C8E" w14:textId="77777777" w:rsidR="00A05266" w:rsidRPr="00C44A84" w:rsidRDefault="00A05266" w:rsidP="00A05266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44A84">
        <w:rPr>
          <w:rFonts w:ascii="Times New Roman" w:hAnsi="Times New Roman"/>
          <w:b/>
          <w:bCs/>
          <w:sz w:val="24"/>
          <w:szCs w:val="24"/>
        </w:rPr>
        <w:t>§ 4</w:t>
      </w:r>
    </w:p>
    <w:p w14:paraId="6A1079AC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center"/>
        <w:rPr>
          <w:rFonts w:ascii="Times New Roman" w:hAnsi="Times New Roman" w:cs="Times New Roman"/>
          <w:b/>
        </w:rPr>
      </w:pPr>
      <w:r w:rsidRPr="00C44A84">
        <w:rPr>
          <w:rFonts w:ascii="Times New Roman" w:hAnsi="Times New Roman" w:cs="Times New Roman"/>
          <w:b/>
        </w:rPr>
        <w:t>Zatwierdzenie wyniku oceny</w:t>
      </w:r>
    </w:p>
    <w:p w14:paraId="15189F84" w14:textId="77777777" w:rsidR="00A05266" w:rsidRPr="00C44A84" w:rsidRDefault="00A05266" w:rsidP="00A05266">
      <w:pPr>
        <w:pStyle w:val="Default"/>
        <w:tabs>
          <w:tab w:val="left" w:pos="0"/>
        </w:tabs>
        <w:ind w:hanging="284"/>
        <w:jc w:val="both"/>
        <w:rPr>
          <w:rFonts w:ascii="Times New Roman" w:hAnsi="Times New Roman" w:cs="Times New Roman"/>
        </w:rPr>
      </w:pPr>
    </w:p>
    <w:p w14:paraId="6CAC513C" w14:textId="77777777" w:rsidR="00A05266" w:rsidRPr="00C44A84" w:rsidRDefault="00A05266" w:rsidP="00A05266">
      <w:pPr>
        <w:pStyle w:val="Default"/>
        <w:numPr>
          <w:ilvl w:val="0"/>
          <w:numId w:val="39"/>
        </w:numPr>
        <w:tabs>
          <w:tab w:val="left" w:pos="0"/>
        </w:tabs>
        <w:ind w:left="0" w:hanging="284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Protokół z prac komisji zawierający ocenę poszczególnych projektów, wraz z kartami oceny projektów oraz blankietami do głosowania zostanie przekazany do zatwierdzenia dyrektorowi Zamawiającego.</w:t>
      </w:r>
    </w:p>
    <w:p w14:paraId="29B5532C" w14:textId="77777777" w:rsidR="00A05266" w:rsidRPr="00C44A84" w:rsidRDefault="00A05266" w:rsidP="00A05266">
      <w:pPr>
        <w:pStyle w:val="Default"/>
        <w:numPr>
          <w:ilvl w:val="0"/>
          <w:numId w:val="39"/>
        </w:numPr>
        <w:tabs>
          <w:tab w:val="left" w:pos="0"/>
        </w:tabs>
        <w:ind w:left="0" w:hanging="284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Po zatwierdzeniu protokołu, zostanie on przekazany do Działu Zamówień Publicznych w terminie do 3 dni roboczych od dnia, w którym obradowała komisja.</w:t>
      </w:r>
    </w:p>
    <w:p w14:paraId="2C4499E0" w14:textId="77777777" w:rsidR="00A05266" w:rsidRPr="00C44A84" w:rsidRDefault="00A05266" w:rsidP="00A05266">
      <w:pPr>
        <w:pStyle w:val="Default"/>
        <w:numPr>
          <w:ilvl w:val="0"/>
          <w:numId w:val="39"/>
        </w:numPr>
        <w:tabs>
          <w:tab w:val="left" w:pos="0"/>
        </w:tabs>
        <w:ind w:left="0" w:hanging="284"/>
        <w:jc w:val="both"/>
        <w:rPr>
          <w:rFonts w:ascii="Times New Roman" w:hAnsi="Times New Roman" w:cs="Times New Roman"/>
        </w:rPr>
      </w:pPr>
      <w:r w:rsidRPr="00C44A84">
        <w:rPr>
          <w:rFonts w:ascii="Times New Roman" w:hAnsi="Times New Roman" w:cs="Times New Roman"/>
        </w:rPr>
        <w:t>Zatwierdzony Protokół z prac komisji wraz z załącznikami stanowi podstawę do przyznania ostatecznej oceny punktowej oferty i zakończenia procedury wyboru najkorzystniejszej oferty.</w:t>
      </w:r>
    </w:p>
    <w:p w14:paraId="581C3915" w14:textId="77777777" w:rsidR="00A05266" w:rsidRDefault="00A05266" w:rsidP="00C4612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DC6C361" w14:textId="77777777" w:rsidR="00A05266" w:rsidRDefault="00A05266" w:rsidP="00C4612C">
      <w:pPr>
        <w:jc w:val="center"/>
        <w:rPr>
          <w:rFonts w:ascii="Times New Roman" w:hAnsi="Times New Roman"/>
          <w:b/>
          <w:sz w:val="32"/>
          <w:szCs w:val="32"/>
        </w:rPr>
      </w:pPr>
    </w:p>
    <w:sectPr w:rsidR="00A05266" w:rsidSect="00A709D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127" w:right="849" w:bottom="2127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4A09F" w14:textId="77777777" w:rsidR="00842616" w:rsidRDefault="00842616" w:rsidP="0076796D">
      <w:pPr>
        <w:spacing w:after="0" w:line="240" w:lineRule="auto"/>
      </w:pPr>
      <w:r>
        <w:separator/>
      </w:r>
    </w:p>
  </w:endnote>
  <w:endnote w:type="continuationSeparator" w:id="0">
    <w:p w14:paraId="1552A0F3" w14:textId="77777777" w:rsidR="00842616" w:rsidRDefault="00842616" w:rsidP="0076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1EC34" w14:textId="77777777" w:rsidR="006B7930" w:rsidRPr="00DC2145" w:rsidRDefault="006B7930" w:rsidP="006B7930">
    <w:pPr>
      <w:jc w:val="center"/>
      <w:rPr>
        <w:rFonts w:ascii="Arial" w:hAnsi="Arial" w:cs="Arial"/>
        <w:sz w:val="14"/>
        <w:szCs w:val="14"/>
      </w:rPr>
    </w:pPr>
    <w:r w:rsidRPr="00DC2145">
      <w:rPr>
        <w:rFonts w:ascii="Arial" w:hAnsi="Arial" w:cs="Arial"/>
        <w:sz w:val="14"/>
        <w:szCs w:val="14"/>
      </w:rPr>
      <w:t xml:space="preserve">Projekt pn. </w:t>
    </w:r>
    <w:r w:rsidRPr="00DC2145">
      <w:rPr>
        <w:rFonts w:ascii="Arial" w:hAnsi="Arial" w:cs="Arial"/>
        <w:i/>
        <w:sz w:val="14"/>
        <w:szCs w:val="14"/>
      </w:rPr>
      <w:t>Przebudowa i adaptacja Zabytkowej infrastruktury Kopalni Guido w Zabrzu na cele turystyczne i kulturalne”</w:t>
    </w:r>
    <w:r>
      <w:rPr>
        <w:rFonts w:ascii="Arial" w:hAnsi="Arial" w:cs="Arial"/>
        <w:i/>
        <w:sz w:val="14"/>
        <w:szCs w:val="14"/>
      </w:rPr>
      <w:t xml:space="preserve"> </w:t>
    </w:r>
    <w:r w:rsidRPr="00DC2145">
      <w:rPr>
        <w:rFonts w:ascii="Arial" w:hAnsi="Arial" w:cs="Arial"/>
        <w:sz w:val="14"/>
        <w:szCs w:val="14"/>
      </w:rPr>
      <w:t>współfinansowany jest przez Unię Europejską z Europejskiego Funduszu Rozwoju Regionalnego w ramach Regionalnego Programu Operacyjnego Województwa Śląskiego na lata 2007-2013</w:t>
    </w:r>
  </w:p>
  <w:p w14:paraId="3DBF5784" w14:textId="77777777" w:rsidR="00396360" w:rsidRDefault="00396360" w:rsidP="006B7930">
    <w:pPr>
      <w:pStyle w:val="Stopka"/>
      <w:ind w:left="-42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BC9CB" w14:textId="77777777" w:rsidR="006B7930" w:rsidRPr="00DC2145" w:rsidRDefault="009A538C" w:rsidP="006B7930">
    <w:pPr>
      <w:jc w:val="center"/>
      <w:rPr>
        <w:rFonts w:ascii="Arial" w:hAnsi="Arial" w:cs="Arial"/>
        <w:sz w:val="14"/>
        <w:szCs w:val="14"/>
      </w:rPr>
    </w:pPr>
    <w:r>
      <w:t xml:space="preserve">     </w:t>
    </w:r>
    <w:r w:rsidR="006B7930" w:rsidRPr="00DC2145">
      <w:rPr>
        <w:rFonts w:ascii="Arial" w:hAnsi="Arial" w:cs="Arial"/>
        <w:sz w:val="14"/>
        <w:szCs w:val="14"/>
      </w:rPr>
      <w:t xml:space="preserve">Projekt pn. </w:t>
    </w:r>
    <w:r w:rsidR="006B7930" w:rsidRPr="00DC2145">
      <w:rPr>
        <w:rFonts w:ascii="Arial" w:hAnsi="Arial" w:cs="Arial"/>
        <w:i/>
        <w:sz w:val="14"/>
        <w:szCs w:val="14"/>
      </w:rPr>
      <w:t>Przebudowa i adaptacja Zabytkowej infrastruktury Kopalni Guido w Zabrzu na cele turystyczne i kulturalne”</w:t>
    </w:r>
    <w:r w:rsidR="006B7930">
      <w:rPr>
        <w:rFonts w:ascii="Arial" w:hAnsi="Arial" w:cs="Arial"/>
        <w:i/>
        <w:sz w:val="14"/>
        <w:szCs w:val="14"/>
      </w:rPr>
      <w:t xml:space="preserve"> </w:t>
    </w:r>
    <w:r w:rsidR="006B7930" w:rsidRPr="00DC2145">
      <w:rPr>
        <w:rFonts w:ascii="Arial" w:hAnsi="Arial" w:cs="Arial"/>
        <w:sz w:val="14"/>
        <w:szCs w:val="14"/>
      </w:rPr>
      <w:t>współfinansowany jest przez Unię Europejską z Europejskiego Funduszu Rozwoju Regionalnego w ramach Regionalnego Programu Operacyjnego Województwa Śląskiego na lata 2007-2013</w:t>
    </w:r>
  </w:p>
  <w:p w14:paraId="6019645C" w14:textId="77777777" w:rsidR="00195CB8" w:rsidRDefault="00195CB8" w:rsidP="006B79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061B1" w14:textId="77777777" w:rsidR="00842616" w:rsidRDefault="00842616" w:rsidP="0076796D">
      <w:pPr>
        <w:spacing w:after="0" w:line="240" w:lineRule="auto"/>
      </w:pPr>
      <w:r>
        <w:separator/>
      </w:r>
    </w:p>
  </w:footnote>
  <w:footnote w:type="continuationSeparator" w:id="0">
    <w:p w14:paraId="073A1D8E" w14:textId="77777777" w:rsidR="00842616" w:rsidRDefault="00842616" w:rsidP="00767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34C28" w14:textId="77777777" w:rsidR="000C6C23" w:rsidRDefault="00C873E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691EA647" wp14:editId="57DDF418">
          <wp:simplePos x="0" y="0"/>
          <wp:positionH relativeFrom="column">
            <wp:posOffset>-630555</wp:posOffset>
          </wp:positionH>
          <wp:positionV relativeFrom="paragraph">
            <wp:posOffset>-75565</wp:posOffset>
          </wp:positionV>
          <wp:extent cx="7560310" cy="682625"/>
          <wp:effectExtent l="19050" t="0" r="2540" b="0"/>
          <wp:wrapThrough wrapText="bothSides">
            <wp:wrapPolygon edited="0">
              <wp:start x="-54" y="0"/>
              <wp:lineTo x="-54" y="21098"/>
              <wp:lineTo x="21607" y="21098"/>
              <wp:lineTo x="21607" y="0"/>
              <wp:lineTo x="-54" y="0"/>
            </wp:wrapPolygon>
          </wp:wrapThrough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621B4" w14:textId="77777777" w:rsidR="000431C8" w:rsidRDefault="006B7930" w:rsidP="006B793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8EA11AF" wp14:editId="46B56607">
          <wp:extent cx="5622925" cy="770890"/>
          <wp:effectExtent l="0" t="0" r="0" b="0"/>
          <wp:docPr id="1" name="Obraz 1" descr="logo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2925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47E057" w14:textId="77777777" w:rsidR="00667301" w:rsidRDefault="006673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1AE25" w14:textId="77777777" w:rsidR="00195CB8" w:rsidRDefault="006B7930" w:rsidP="006B7930">
    <w:pPr>
      <w:pStyle w:val="Nagwek"/>
      <w:tabs>
        <w:tab w:val="clear" w:pos="9072"/>
        <w:tab w:val="right" w:pos="9214"/>
      </w:tabs>
      <w:jc w:val="center"/>
    </w:pPr>
    <w:r>
      <w:rPr>
        <w:noProof/>
        <w:lang w:eastAsia="pl-PL"/>
      </w:rPr>
      <w:drawing>
        <wp:inline distT="0" distB="0" distL="0" distR="0" wp14:anchorId="3817F355" wp14:editId="09DEE716">
          <wp:extent cx="5622925" cy="770890"/>
          <wp:effectExtent l="0" t="0" r="0" b="0"/>
          <wp:docPr id="2" name="Obraz 2" descr="logo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2925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741D"/>
    <w:multiLevelType w:val="hybridMultilevel"/>
    <w:tmpl w:val="2A7C23A4"/>
    <w:lvl w:ilvl="0" w:tplc="D58A89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316005"/>
    <w:multiLevelType w:val="hybridMultilevel"/>
    <w:tmpl w:val="C52E2640"/>
    <w:lvl w:ilvl="0" w:tplc="EE3CFE78">
      <w:start w:val="1"/>
      <w:numFmt w:val="decimal"/>
      <w:lvlText w:val="%1)"/>
      <w:lvlJc w:val="left"/>
      <w:pPr>
        <w:ind w:left="720" w:hanging="360"/>
      </w:pPr>
      <w:rPr>
        <w:rFonts w:eastAsia="TimesNewRoman,Bold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0254F"/>
    <w:multiLevelType w:val="hybridMultilevel"/>
    <w:tmpl w:val="89FAD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F42F1"/>
    <w:multiLevelType w:val="hybridMultilevel"/>
    <w:tmpl w:val="EF98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60A7A"/>
    <w:multiLevelType w:val="hybridMultilevel"/>
    <w:tmpl w:val="C6645C94"/>
    <w:lvl w:ilvl="0" w:tplc="3556B25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8850EC3"/>
    <w:multiLevelType w:val="hybridMultilevel"/>
    <w:tmpl w:val="06E843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762B0E"/>
    <w:multiLevelType w:val="hybridMultilevel"/>
    <w:tmpl w:val="1916C25A"/>
    <w:lvl w:ilvl="0" w:tplc="8E20EF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2F6D98"/>
    <w:multiLevelType w:val="hybridMultilevel"/>
    <w:tmpl w:val="D18A56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5A44B2"/>
    <w:multiLevelType w:val="hybridMultilevel"/>
    <w:tmpl w:val="47E22916"/>
    <w:lvl w:ilvl="0" w:tplc="2E32C3A2">
      <w:start w:val="4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E441DC"/>
    <w:multiLevelType w:val="hybridMultilevel"/>
    <w:tmpl w:val="788ADC56"/>
    <w:lvl w:ilvl="0" w:tplc="0E2605B0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16F752F"/>
    <w:multiLevelType w:val="hybridMultilevel"/>
    <w:tmpl w:val="DF704FDC"/>
    <w:lvl w:ilvl="0" w:tplc="6756BEBE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757886"/>
    <w:multiLevelType w:val="multilevel"/>
    <w:tmpl w:val="DE504B7E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21"/>
      <w:numFmt w:val="decimalZero"/>
      <w:lvlText w:val="%1-%2"/>
      <w:lvlJc w:val="left"/>
      <w:pPr>
        <w:ind w:left="1177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816" w:hanging="1800"/>
      </w:pPr>
      <w:rPr>
        <w:rFonts w:hint="default"/>
      </w:rPr>
    </w:lvl>
  </w:abstractNum>
  <w:abstractNum w:abstractNumId="12">
    <w:nsid w:val="16056F89"/>
    <w:multiLevelType w:val="hybridMultilevel"/>
    <w:tmpl w:val="40EC16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9712A30"/>
    <w:multiLevelType w:val="hybridMultilevel"/>
    <w:tmpl w:val="6EBC8A2E"/>
    <w:lvl w:ilvl="0" w:tplc="ABE28D40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2688E"/>
    <w:multiLevelType w:val="hybridMultilevel"/>
    <w:tmpl w:val="436E33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E3C08D5"/>
    <w:multiLevelType w:val="multilevel"/>
    <w:tmpl w:val="EBBE6EB4"/>
    <w:lvl w:ilvl="0">
      <w:start w:val="4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83"/>
      <w:numFmt w:val="decimal"/>
      <w:lvlText w:val="%1-%2"/>
      <w:lvlJc w:val="left"/>
      <w:pPr>
        <w:ind w:left="346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24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36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440"/>
      </w:pPr>
      <w:rPr>
        <w:rFonts w:hint="default"/>
      </w:rPr>
    </w:lvl>
  </w:abstractNum>
  <w:abstractNum w:abstractNumId="16">
    <w:nsid w:val="1F315FC5"/>
    <w:multiLevelType w:val="hybridMultilevel"/>
    <w:tmpl w:val="09F8B9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F567018"/>
    <w:multiLevelType w:val="multilevel"/>
    <w:tmpl w:val="AC549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20E647AF"/>
    <w:multiLevelType w:val="hybridMultilevel"/>
    <w:tmpl w:val="8DE4E67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1A73BFC"/>
    <w:multiLevelType w:val="hybridMultilevel"/>
    <w:tmpl w:val="CA84DA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4D24A0"/>
    <w:multiLevelType w:val="hybridMultilevel"/>
    <w:tmpl w:val="55C495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AF40553"/>
    <w:multiLevelType w:val="hybridMultilevel"/>
    <w:tmpl w:val="ED4CF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5174C0"/>
    <w:multiLevelType w:val="hybridMultilevel"/>
    <w:tmpl w:val="CF404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BB49F7"/>
    <w:multiLevelType w:val="hybridMultilevel"/>
    <w:tmpl w:val="89922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CC3AA5"/>
    <w:multiLevelType w:val="multilevel"/>
    <w:tmpl w:val="AC549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>
    <w:nsid w:val="331740C9"/>
    <w:multiLevelType w:val="hybridMultilevel"/>
    <w:tmpl w:val="4DAC3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75A2B52"/>
    <w:multiLevelType w:val="hybridMultilevel"/>
    <w:tmpl w:val="61127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6B358A"/>
    <w:multiLevelType w:val="hybridMultilevel"/>
    <w:tmpl w:val="48181D68"/>
    <w:lvl w:ilvl="0" w:tplc="40C42A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D977CD"/>
    <w:multiLevelType w:val="multilevel"/>
    <w:tmpl w:val="314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9">
    <w:nsid w:val="3B5B4A99"/>
    <w:multiLevelType w:val="hybridMultilevel"/>
    <w:tmpl w:val="21504F4A"/>
    <w:lvl w:ilvl="0" w:tplc="432EA08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0F1EC4"/>
    <w:multiLevelType w:val="hybridMultilevel"/>
    <w:tmpl w:val="729E9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354690"/>
    <w:multiLevelType w:val="hybridMultilevel"/>
    <w:tmpl w:val="562069A6"/>
    <w:lvl w:ilvl="0" w:tplc="0F743D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3C31F6"/>
    <w:multiLevelType w:val="hybridMultilevel"/>
    <w:tmpl w:val="CA2CB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94525A"/>
    <w:multiLevelType w:val="hybridMultilevel"/>
    <w:tmpl w:val="629EA8A0"/>
    <w:lvl w:ilvl="0" w:tplc="B640491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87C6153"/>
    <w:multiLevelType w:val="multilevel"/>
    <w:tmpl w:val="169E1264"/>
    <w:lvl w:ilvl="0">
      <w:start w:val="4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83"/>
      <w:numFmt w:val="decimal"/>
      <w:lvlText w:val="%1-%2"/>
      <w:lvlJc w:val="left"/>
      <w:pPr>
        <w:ind w:left="86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12" w:hanging="1440"/>
      </w:pPr>
      <w:rPr>
        <w:rFonts w:hint="default"/>
      </w:rPr>
    </w:lvl>
  </w:abstractNum>
  <w:abstractNum w:abstractNumId="35">
    <w:nsid w:val="5E011EDA"/>
    <w:multiLevelType w:val="hybridMultilevel"/>
    <w:tmpl w:val="F88815B0"/>
    <w:lvl w:ilvl="0" w:tplc="D51C4A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E647B46"/>
    <w:multiLevelType w:val="hybridMultilevel"/>
    <w:tmpl w:val="912A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FD0904"/>
    <w:multiLevelType w:val="hybridMultilevel"/>
    <w:tmpl w:val="39C0FA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3D78A8"/>
    <w:multiLevelType w:val="hybridMultilevel"/>
    <w:tmpl w:val="D646DC8C"/>
    <w:lvl w:ilvl="0" w:tplc="D0ACCBAA">
      <w:start w:val="1"/>
      <w:numFmt w:val="decimal"/>
      <w:lvlText w:val="%1."/>
      <w:lvlJc w:val="left"/>
      <w:pPr>
        <w:ind w:left="122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>
    <w:nsid w:val="62DF487C"/>
    <w:multiLevelType w:val="hybridMultilevel"/>
    <w:tmpl w:val="88EE8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7E71F9"/>
    <w:multiLevelType w:val="hybridMultilevel"/>
    <w:tmpl w:val="6B2611C8"/>
    <w:lvl w:ilvl="0" w:tplc="77209F0A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A405DF2"/>
    <w:multiLevelType w:val="hybridMultilevel"/>
    <w:tmpl w:val="562069A6"/>
    <w:lvl w:ilvl="0" w:tplc="0F743D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D0820EF"/>
    <w:multiLevelType w:val="hybridMultilevel"/>
    <w:tmpl w:val="260C0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C264F8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E5048F8"/>
    <w:multiLevelType w:val="hybridMultilevel"/>
    <w:tmpl w:val="72349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BE2C90"/>
    <w:multiLevelType w:val="hybridMultilevel"/>
    <w:tmpl w:val="8A14C2EC"/>
    <w:lvl w:ilvl="0" w:tplc="6C22B7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6627B2"/>
    <w:multiLevelType w:val="multilevel"/>
    <w:tmpl w:val="1DCEC856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210"/>
      <w:numFmt w:val="decimal"/>
      <w:lvlText w:val="%1-%2"/>
      <w:lvlJc w:val="left"/>
      <w:pPr>
        <w:ind w:left="185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25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7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96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50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67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16" w:hanging="1800"/>
      </w:pPr>
      <w:rPr>
        <w:rFonts w:hint="default"/>
      </w:rPr>
    </w:lvl>
  </w:abstractNum>
  <w:abstractNum w:abstractNumId="46">
    <w:nsid w:val="78F63C92"/>
    <w:multiLevelType w:val="hybridMultilevel"/>
    <w:tmpl w:val="DCB46F42"/>
    <w:lvl w:ilvl="0" w:tplc="C0668DF8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CF62C6"/>
    <w:multiLevelType w:val="hybridMultilevel"/>
    <w:tmpl w:val="15D6F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7"/>
  </w:num>
  <w:num w:numId="5">
    <w:abstractNumId w:val="32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15"/>
  </w:num>
  <w:num w:numId="10">
    <w:abstractNumId w:val="46"/>
  </w:num>
  <w:num w:numId="11">
    <w:abstractNumId w:val="34"/>
  </w:num>
  <w:num w:numId="12">
    <w:abstractNumId w:val="29"/>
  </w:num>
  <w:num w:numId="13">
    <w:abstractNumId w:val="23"/>
  </w:num>
  <w:num w:numId="14">
    <w:abstractNumId w:val="8"/>
  </w:num>
  <w:num w:numId="15">
    <w:abstractNumId w:val="39"/>
  </w:num>
  <w:num w:numId="16">
    <w:abstractNumId w:val="36"/>
  </w:num>
  <w:num w:numId="17">
    <w:abstractNumId w:val="22"/>
  </w:num>
  <w:num w:numId="18">
    <w:abstractNumId w:val="4"/>
  </w:num>
  <w:num w:numId="19">
    <w:abstractNumId w:val="11"/>
  </w:num>
  <w:num w:numId="20">
    <w:abstractNumId w:val="45"/>
  </w:num>
  <w:num w:numId="21">
    <w:abstractNumId w:val="19"/>
  </w:num>
  <w:num w:numId="22">
    <w:abstractNumId w:val="38"/>
  </w:num>
  <w:num w:numId="23">
    <w:abstractNumId w:val="30"/>
  </w:num>
  <w:num w:numId="24">
    <w:abstractNumId w:val="6"/>
  </w:num>
  <w:num w:numId="25">
    <w:abstractNumId w:val="43"/>
  </w:num>
  <w:num w:numId="26">
    <w:abstractNumId w:val="10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0"/>
  </w:num>
  <w:num w:numId="39">
    <w:abstractNumId w:val="35"/>
  </w:num>
  <w:num w:numId="40">
    <w:abstractNumId w:val="17"/>
  </w:num>
  <w:num w:numId="41">
    <w:abstractNumId w:val="24"/>
  </w:num>
  <w:num w:numId="42">
    <w:abstractNumId w:val="25"/>
  </w:num>
  <w:num w:numId="43">
    <w:abstractNumId w:val="16"/>
  </w:num>
  <w:num w:numId="44">
    <w:abstractNumId w:val="26"/>
  </w:num>
  <w:num w:numId="45">
    <w:abstractNumId w:val="44"/>
  </w:num>
  <w:num w:numId="46">
    <w:abstractNumId w:val="2"/>
  </w:num>
  <w:num w:numId="47">
    <w:abstractNumId w:val="5"/>
  </w:num>
  <w:num w:numId="48">
    <w:abstractNumId w:val="47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E3C"/>
    <w:rsid w:val="000036B8"/>
    <w:rsid w:val="00003E05"/>
    <w:rsid w:val="000100AC"/>
    <w:rsid w:val="00016BD4"/>
    <w:rsid w:val="00030E5A"/>
    <w:rsid w:val="00034ABA"/>
    <w:rsid w:val="000431C8"/>
    <w:rsid w:val="00047A71"/>
    <w:rsid w:val="00050865"/>
    <w:rsid w:val="0005641F"/>
    <w:rsid w:val="00062E05"/>
    <w:rsid w:val="00064275"/>
    <w:rsid w:val="00066F37"/>
    <w:rsid w:val="00095357"/>
    <w:rsid w:val="000A0E29"/>
    <w:rsid w:val="000B429D"/>
    <w:rsid w:val="000C352E"/>
    <w:rsid w:val="000C681D"/>
    <w:rsid w:val="000C6C23"/>
    <w:rsid w:val="000D06DB"/>
    <w:rsid w:val="000D2998"/>
    <w:rsid w:val="000D546C"/>
    <w:rsid w:val="000D7311"/>
    <w:rsid w:val="000D755B"/>
    <w:rsid w:val="000F0E90"/>
    <w:rsid w:val="000F353B"/>
    <w:rsid w:val="001106AA"/>
    <w:rsid w:val="00135D0D"/>
    <w:rsid w:val="00152A9D"/>
    <w:rsid w:val="001675A9"/>
    <w:rsid w:val="00191CC6"/>
    <w:rsid w:val="00195CB8"/>
    <w:rsid w:val="001A4D4F"/>
    <w:rsid w:val="001A586B"/>
    <w:rsid w:val="001B69E7"/>
    <w:rsid w:val="001B7677"/>
    <w:rsid w:val="001C2FD3"/>
    <w:rsid w:val="001D7CB9"/>
    <w:rsid w:val="001E3174"/>
    <w:rsid w:val="001E3E9E"/>
    <w:rsid w:val="001E5709"/>
    <w:rsid w:val="001F2D59"/>
    <w:rsid w:val="0020132F"/>
    <w:rsid w:val="002160AD"/>
    <w:rsid w:val="00234FA4"/>
    <w:rsid w:val="002446E6"/>
    <w:rsid w:val="002609B9"/>
    <w:rsid w:val="002648B8"/>
    <w:rsid w:val="00282761"/>
    <w:rsid w:val="0029371E"/>
    <w:rsid w:val="002A1E27"/>
    <w:rsid w:val="002A395E"/>
    <w:rsid w:val="002C149F"/>
    <w:rsid w:val="002C6E3C"/>
    <w:rsid w:val="002D14DC"/>
    <w:rsid w:val="0030028C"/>
    <w:rsid w:val="003037F1"/>
    <w:rsid w:val="00305D8C"/>
    <w:rsid w:val="00323184"/>
    <w:rsid w:val="003346AF"/>
    <w:rsid w:val="00336902"/>
    <w:rsid w:val="00360FCB"/>
    <w:rsid w:val="00367ED7"/>
    <w:rsid w:val="00381395"/>
    <w:rsid w:val="0038789B"/>
    <w:rsid w:val="00395AF6"/>
    <w:rsid w:val="00396360"/>
    <w:rsid w:val="003C2A68"/>
    <w:rsid w:val="003E417C"/>
    <w:rsid w:val="003F7BCD"/>
    <w:rsid w:val="00401382"/>
    <w:rsid w:val="00401C35"/>
    <w:rsid w:val="00404B99"/>
    <w:rsid w:val="00407E92"/>
    <w:rsid w:val="00430328"/>
    <w:rsid w:val="00433E44"/>
    <w:rsid w:val="00440169"/>
    <w:rsid w:val="00452DF6"/>
    <w:rsid w:val="00466795"/>
    <w:rsid w:val="0048139B"/>
    <w:rsid w:val="00485E22"/>
    <w:rsid w:val="00492F0D"/>
    <w:rsid w:val="00497DC4"/>
    <w:rsid w:val="004A158D"/>
    <w:rsid w:val="004A4D8D"/>
    <w:rsid w:val="004A7AC7"/>
    <w:rsid w:val="004C55C3"/>
    <w:rsid w:val="004C63DF"/>
    <w:rsid w:val="004D597A"/>
    <w:rsid w:val="004E2BE4"/>
    <w:rsid w:val="004E3414"/>
    <w:rsid w:val="004E418A"/>
    <w:rsid w:val="004F048E"/>
    <w:rsid w:val="004F3FBA"/>
    <w:rsid w:val="005133ED"/>
    <w:rsid w:val="00523DAA"/>
    <w:rsid w:val="00525508"/>
    <w:rsid w:val="00525DF2"/>
    <w:rsid w:val="00535606"/>
    <w:rsid w:val="005470B9"/>
    <w:rsid w:val="0055750D"/>
    <w:rsid w:val="0056351B"/>
    <w:rsid w:val="005653A3"/>
    <w:rsid w:val="00570CB4"/>
    <w:rsid w:val="00571D2C"/>
    <w:rsid w:val="00575EFA"/>
    <w:rsid w:val="00592DE2"/>
    <w:rsid w:val="005A130E"/>
    <w:rsid w:val="005A2993"/>
    <w:rsid w:val="005C7587"/>
    <w:rsid w:val="00606A00"/>
    <w:rsid w:val="006104B2"/>
    <w:rsid w:val="006210CE"/>
    <w:rsid w:val="0064733F"/>
    <w:rsid w:val="00667301"/>
    <w:rsid w:val="00676C22"/>
    <w:rsid w:val="0068064D"/>
    <w:rsid w:val="0068118D"/>
    <w:rsid w:val="006843B3"/>
    <w:rsid w:val="00686B6A"/>
    <w:rsid w:val="00691E9C"/>
    <w:rsid w:val="00693D1A"/>
    <w:rsid w:val="006A15A8"/>
    <w:rsid w:val="006A7A32"/>
    <w:rsid w:val="006B1658"/>
    <w:rsid w:val="006B7930"/>
    <w:rsid w:val="006E3A16"/>
    <w:rsid w:val="006E573E"/>
    <w:rsid w:val="006F47BB"/>
    <w:rsid w:val="00703032"/>
    <w:rsid w:val="00710D76"/>
    <w:rsid w:val="00726DD2"/>
    <w:rsid w:val="007306D5"/>
    <w:rsid w:val="0074148E"/>
    <w:rsid w:val="00742E8B"/>
    <w:rsid w:val="00751355"/>
    <w:rsid w:val="00760BF7"/>
    <w:rsid w:val="0076286C"/>
    <w:rsid w:val="0076796D"/>
    <w:rsid w:val="00777BF4"/>
    <w:rsid w:val="0079290D"/>
    <w:rsid w:val="00792C44"/>
    <w:rsid w:val="007A3F41"/>
    <w:rsid w:val="007E065E"/>
    <w:rsid w:val="00803D97"/>
    <w:rsid w:val="0082300B"/>
    <w:rsid w:val="00842616"/>
    <w:rsid w:val="00856A68"/>
    <w:rsid w:val="0087164F"/>
    <w:rsid w:val="008C08E8"/>
    <w:rsid w:val="008E4B3F"/>
    <w:rsid w:val="008E6A62"/>
    <w:rsid w:val="008F0382"/>
    <w:rsid w:val="00917015"/>
    <w:rsid w:val="00917F98"/>
    <w:rsid w:val="00922A49"/>
    <w:rsid w:val="00924082"/>
    <w:rsid w:val="00964119"/>
    <w:rsid w:val="0096412E"/>
    <w:rsid w:val="0096672B"/>
    <w:rsid w:val="009745B6"/>
    <w:rsid w:val="0097773E"/>
    <w:rsid w:val="00995357"/>
    <w:rsid w:val="009A538C"/>
    <w:rsid w:val="009B5873"/>
    <w:rsid w:val="009C5208"/>
    <w:rsid w:val="009C7BFB"/>
    <w:rsid w:val="009F5FA1"/>
    <w:rsid w:val="00A05266"/>
    <w:rsid w:val="00A259B3"/>
    <w:rsid w:val="00A46244"/>
    <w:rsid w:val="00A51458"/>
    <w:rsid w:val="00A55868"/>
    <w:rsid w:val="00A709D8"/>
    <w:rsid w:val="00AA4EE3"/>
    <w:rsid w:val="00AC2E57"/>
    <w:rsid w:val="00AC4AFD"/>
    <w:rsid w:val="00AF6CFD"/>
    <w:rsid w:val="00AF6FDB"/>
    <w:rsid w:val="00B026CF"/>
    <w:rsid w:val="00B049DC"/>
    <w:rsid w:val="00B06E06"/>
    <w:rsid w:val="00B118E6"/>
    <w:rsid w:val="00B1378F"/>
    <w:rsid w:val="00B23382"/>
    <w:rsid w:val="00B252BD"/>
    <w:rsid w:val="00B263DB"/>
    <w:rsid w:val="00B350DC"/>
    <w:rsid w:val="00B43EC1"/>
    <w:rsid w:val="00B573E6"/>
    <w:rsid w:val="00B62688"/>
    <w:rsid w:val="00B655AA"/>
    <w:rsid w:val="00B71890"/>
    <w:rsid w:val="00B92FA7"/>
    <w:rsid w:val="00B9486D"/>
    <w:rsid w:val="00BA053E"/>
    <w:rsid w:val="00BA34B4"/>
    <w:rsid w:val="00BB2C1A"/>
    <w:rsid w:val="00BC7E10"/>
    <w:rsid w:val="00BD4412"/>
    <w:rsid w:val="00C15CC4"/>
    <w:rsid w:val="00C25DE8"/>
    <w:rsid w:val="00C37737"/>
    <w:rsid w:val="00C44A84"/>
    <w:rsid w:val="00C4612C"/>
    <w:rsid w:val="00C46232"/>
    <w:rsid w:val="00C5454C"/>
    <w:rsid w:val="00C725C1"/>
    <w:rsid w:val="00C74B55"/>
    <w:rsid w:val="00C77F76"/>
    <w:rsid w:val="00C85D58"/>
    <w:rsid w:val="00C873E1"/>
    <w:rsid w:val="00CA19AC"/>
    <w:rsid w:val="00CA7016"/>
    <w:rsid w:val="00CB20CA"/>
    <w:rsid w:val="00D42017"/>
    <w:rsid w:val="00D73C70"/>
    <w:rsid w:val="00D757A2"/>
    <w:rsid w:val="00D83209"/>
    <w:rsid w:val="00D90CB3"/>
    <w:rsid w:val="00DA1055"/>
    <w:rsid w:val="00DA1B0F"/>
    <w:rsid w:val="00DC5581"/>
    <w:rsid w:val="00DC6BB7"/>
    <w:rsid w:val="00DD3746"/>
    <w:rsid w:val="00DD5705"/>
    <w:rsid w:val="00DF33FC"/>
    <w:rsid w:val="00E0778B"/>
    <w:rsid w:val="00E10C40"/>
    <w:rsid w:val="00E126F3"/>
    <w:rsid w:val="00E20E36"/>
    <w:rsid w:val="00E438BF"/>
    <w:rsid w:val="00E449C5"/>
    <w:rsid w:val="00E51549"/>
    <w:rsid w:val="00E52762"/>
    <w:rsid w:val="00E53F54"/>
    <w:rsid w:val="00E738C5"/>
    <w:rsid w:val="00E95B4E"/>
    <w:rsid w:val="00E97847"/>
    <w:rsid w:val="00EA2E31"/>
    <w:rsid w:val="00EB0946"/>
    <w:rsid w:val="00EC4225"/>
    <w:rsid w:val="00EC632E"/>
    <w:rsid w:val="00EE7974"/>
    <w:rsid w:val="00EF200D"/>
    <w:rsid w:val="00F079F7"/>
    <w:rsid w:val="00F1127B"/>
    <w:rsid w:val="00F17DA5"/>
    <w:rsid w:val="00F218C0"/>
    <w:rsid w:val="00F33577"/>
    <w:rsid w:val="00F44384"/>
    <w:rsid w:val="00F61F24"/>
    <w:rsid w:val="00F75E0F"/>
    <w:rsid w:val="00F82BA9"/>
    <w:rsid w:val="00F86A74"/>
    <w:rsid w:val="00F928E6"/>
    <w:rsid w:val="00F954AE"/>
    <w:rsid w:val="00FB376C"/>
    <w:rsid w:val="00FC48D4"/>
    <w:rsid w:val="00FD126E"/>
    <w:rsid w:val="00FE6D8C"/>
    <w:rsid w:val="00FE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B2E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0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6E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E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6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1F2D59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agwek">
    <w:name w:val="header"/>
    <w:basedOn w:val="Normalny"/>
    <w:link w:val="Nagwek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96D"/>
  </w:style>
  <w:style w:type="paragraph" w:styleId="Stopka">
    <w:name w:val="footer"/>
    <w:basedOn w:val="Normalny"/>
    <w:link w:val="StopkaZnak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796D"/>
  </w:style>
  <w:style w:type="paragraph" w:styleId="Tekstpodstawowywcity">
    <w:name w:val="Body Text Indent"/>
    <w:basedOn w:val="Normalny"/>
    <w:link w:val="TekstpodstawowywcityZnak"/>
    <w:rsid w:val="00EE7974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E797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E7974"/>
    <w:pPr>
      <w:spacing w:after="0" w:line="240" w:lineRule="auto"/>
      <w:ind w:left="720"/>
    </w:pPr>
    <w:rPr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6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65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6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75E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6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35D0D"/>
    <w:rPr>
      <w:b/>
      <w:bCs/>
    </w:rPr>
  </w:style>
  <w:style w:type="paragraph" w:customStyle="1" w:styleId="Default">
    <w:name w:val="Default"/>
    <w:rsid w:val="00C4612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27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27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276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7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2762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0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6E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E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6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1F2D59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agwek">
    <w:name w:val="header"/>
    <w:basedOn w:val="Normalny"/>
    <w:link w:val="Nagwek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96D"/>
  </w:style>
  <w:style w:type="paragraph" w:styleId="Stopka">
    <w:name w:val="footer"/>
    <w:basedOn w:val="Normalny"/>
    <w:link w:val="StopkaZnak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796D"/>
  </w:style>
  <w:style w:type="paragraph" w:styleId="Tekstpodstawowywcity">
    <w:name w:val="Body Text Indent"/>
    <w:basedOn w:val="Normalny"/>
    <w:link w:val="TekstpodstawowywcityZnak"/>
    <w:rsid w:val="00EE7974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E797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E7974"/>
    <w:pPr>
      <w:spacing w:after="0" w:line="240" w:lineRule="auto"/>
      <w:ind w:left="720"/>
    </w:pPr>
    <w:rPr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6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65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6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75E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6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35D0D"/>
    <w:rPr>
      <w:b/>
      <w:bCs/>
    </w:rPr>
  </w:style>
  <w:style w:type="paragraph" w:customStyle="1" w:styleId="Default">
    <w:name w:val="Default"/>
    <w:rsid w:val="00C4612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27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27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276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7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276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5249-15B6-4286-A499-37ACAA76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Koenigshaus</dc:creator>
  <cp:lastModifiedBy>Agnieszka Grabarz</cp:lastModifiedBy>
  <cp:revision>5</cp:revision>
  <cp:lastPrinted>2015-04-29T12:50:00Z</cp:lastPrinted>
  <dcterms:created xsi:type="dcterms:W3CDTF">2015-06-01T12:26:00Z</dcterms:created>
  <dcterms:modified xsi:type="dcterms:W3CDTF">2015-06-03T08:36:00Z</dcterms:modified>
</cp:coreProperties>
</file>